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A612">
      <w:pPr>
        <w:widowControl w:val="0"/>
        <w:overflowPunct w:val="0"/>
        <w:spacing w:line="360" w:lineRule="auto"/>
        <w:jc w:val="both"/>
        <w:textAlignment w:val="auto"/>
        <w:rPr>
          <w:rFonts w:hint="eastAsia" w:ascii="宋体" w:hAnsi="宋体" w:eastAsia="宋体" w:cs="宋体"/>
          <w:b/>
          <w:bCs/>
          <w:spacing w:val="20"/>
          <w:sz w:val="21"/>
          <w:szCs w:val="21"/>
          <w:highlight w:val="none"/>
        </w:rPr>
      </w:pPr>
      <w:r>
        <w:rPr>
          <w:rFonts w:hint="eastAsia" w:ascii="宋体" w:hAnsi="宋体" w:eastAsia="宋体" w:cs="宋体"/>
          <w:b/>
          <w:bCs/>
          <w:spacing w:val="20"/>
          <w:sz w:val="24"/>
          <w:szCs w:val="24"/>
          <w:highlight w:val="none"/>
        </w:rPr>
        <w:t>附件一</w:t>
      </w:r>
      <w:r>
        <w:rPr>
          <w:rFonts w:hint="eastAsia" w:ascii="宋体" w:hAnsi="宋体" w:eastAsia="宋体" w:cs="宋体"/>
          <w:b/>
          <w:bCs/>
          <w:spacing w:val="20"/>
          <w:sz w:val="21"/>
          <w:szCs w:val="21"/>
          <w:highlight w:val="none"/>
        </w:rPr>
        <w:t>：</w:t>
      </w:r>
    </w:p>
    <w:p w14:paraId="08F0DC7B">
      <w:pPr>
        <w:widowControl w:val="0"/>
        <w:overflowPunct w:val="0"/>
        <w:spacing w:line="360" w:lineRule="auto"/>
        <w:jc w:val="center"/>
        <w:textAlignment w:val="auto"/>
        <w:rPr>
          <w:rFonts w:hint="eastAsia" w:ascii="宋体" w:hAnsi="宋体" w:eastAsia="宋体" w:cs="宋体"/>
          <w:b w:val="0"/>
          <w:bCs w:val="0"/>
          <w:spacing w:val="20"/>
          <w:sz w:val="40"/>
          <w:szCs w:val="40"/>
          <w:highlight w:val="none"/>
        </w:rPr>
      </w:pPr>
      <w:r>
        <w:rPr>
          <w:rFonts w:hint="eastAsia" w:ascii="宋体" w:hAnsi="宋体" w:eastAsia="宋体" w:cs="宋体"/>
          <w:b w:val="0"/>
          <w:bCs w:val="0"/>
          <w:spacing w:val="20"/>
          <w:sz w:val="40"/>
          <w:szCs w:val="40"/>
          <w:highlight w:val="none"/>
        </w:rPr>
        <w:t>山东师范大学招标采购项目需求公示表</w:t>
      </w:r>
    </w:p>
    <w:p w14:paraId="1B47094B">
      <w:pPr>
        <w:rPr>
          <w:rFonts w:hint="eastAsia" w:ascii="宋体" w:hAnsi="宋体" w:eastAsia="宋体" w:cs="宋体"/>
          <w:b/>
          <w:sz w:val="24"/>
          <w:szCs w:val="24"/>
          <w:highlight w:val="none"/>
        </w:rPr>
      </w:pPr>
      <w:r>
        <w:rPr>
          <w:rFonts w:hint="eastAsia" w:ascii="宋体" w:hAnsi="宋体" w:eastAsia="宋体" w:cs="宋体"/>
          <w:b/>
          <w:sz w:val="24"/>
          <w:szCs w:val="24"/>
          <w:highlight w:val="none"/>
        </w:rPr>
        <w:t>编号:SDSL-2024-</w:t>
      </w:r>
      <w:r>
        <w:rPr>
          <w:rFonts w:hint="eastAsia" w:ascii="宋体" w:hAnsi="宋体" w:eastAsia="宋体" w:cs="宋体"/>
          <w:b/>
          <w:sz w:val="24"/>
          <w:szCs w:val="24"/>
          <w:highlight w:val="none"/>
          <w:lang w:val="en-US" w:eastAsia="zh-CN"/>
        </w:rPr>
        <w:t>175</w:t>
      </w:r>
    </w:p>
    <w:tbl>
      <w:tblPr>
        <w:tblStyle w:val="11"/>
        <w:tblW w:w="133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40"/>
        <w:gridCol w:w="4300"/>
        <w:gridCol w:w="1055"/>
        <w:gridCol w:w="1085"/>
        <w:gridCol w:w="1561"/>
        <w:gridCol w:w="2127"/>
        <w:gridCol w:w="2192"/>
      </w:tblGrid>
      <w:tr w14:paraId="13C9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3360" w:type="dxa"/>
            <w:gridSpan w:val="7"/>
            <w:shd w:val="clear" w:color="auto" w:fill="FFFFFF"/>
            <w:vAlign w:val="center"/>
          </w:tcPr>
          <w:p w14:paraId="0F3C34FA">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center"/>
              <w:rPr>
                <w:rFonts w:hint="eastAsia" w:ascii="宋体" w:hAnsi="宋体" w:eastAsia="宋体" w:cs="宋体"/>
                <w:sz w:val="24"/>
                <w:szCs w:val="24"/>
                <w:lang w:eastAsia="zh-CN"/>
              </w:rPr>
            </w:pPr>
            <w:r>
              <w:rPr>
                <w:rFonts w:hint="eastAsia" w:ascii="宋体" w:hAnsi="宋体" w:eastAsia="宋体" w:cs="宋体"/>
                <w:sz w:val="24"/>
                <w:szCs w:val="24"/>
              </w:rPr>
              <w:t>基本情况</w:t>
            </w:r>
          </w:p>
        </w:tc>
      </w:tr>
      <w:tr w14:paraId="7371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230B2D39">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center"/>
              <w:rPr>
                <w:rFonts w:hint="eastAsia" w:ascii="宋体" w:hAnsi="宋体" w:eastAsia="宋体" w:cs="宋体"/>
                <w:sz w:val="24"/>
                <w:szCs w:val="24"/>
                <w:lang w:eastAsia="zh-CN"/>
              </w:rPr>
            </w:pPr>
            <w:r>
              <w:rPr>
                <w:rFonts w:hint="eastAsia" w:ascii="宋体" w:hAnsi="宋体" w:eastAsia="宋体" w:cs="宋体"/>
                <w:sz w:val="24"/>
                <w:szCs w:val="24"/>
              </w:rPr>
              <w:t>项目名称</w:t>
            </w:r>
          </w:p>
        </w:tc>
        <w:tc>
          <w:tcPr>
            <w:tcW w:w="8020" w:type="dxa"/>
            <w:gridSpan w:val="5"/>
            <w:shd w:val="clear" w:color="auto" w:fill="FFFFFF"/>
            <w:vAlign w:val="center"/>
          </w:tcPr>
          <w:p w14:paraId="7ED2AE2F">
            <w:pPr>
              <w:pStyle w:val="18"/>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r>
              <w:rPr>
                <w:rFonts w:hint="eastAsia" w:ascii="宋体" w:hAnsi="宋体" w:eastAsia="宋体" w:cs="宋体"/>
                <w:sz w:val="24"/>
                <w:szCs w:val="24"/>
              </w:rPr>
              <w:t>山东师范大学人工智能训练服务器系统平台采购项目</w:t>
            </w:r>
          </w:p>
        </w:tc>
      </w:tr>
      <w:tr w14:paraId="2BA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584CF049">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项目主管单位</w:t>
            </w:r>
          </w:p>
        </w:tc>
        <w:tc>
          <w:tcPr>
            <w:tcW w:w="8020" w:type="dxa"/>
            <w:gridSpan w:val="5"/>
            <w:shd w:val="clear" w:color="auto" w:fill="FFFFFF"/>
            <w:vAlign w:val="center"/>
          </w:tcPr>
          <w:p w14:paraId="1AAAF5B7">
            <w:pPr>
              <w:pStyle w:val="18"/>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r>
              <w:rPr>
                <w:rFonts w:hint="eastAsia" w:ascii="宋体" w:hAnsi="宋体" w:eastAsia="宋体" w:cs="宋体"/>
                <w:sz w:val="24"/>
                <w:szCs w:val="24"/>
              </w:rPr>
              <w:t>山东师范大学信息科学与工程学院</w:t>
            </w:r>
          </w:p>
        </w:tc>
      </w:tr>
      <w:tr w14:paraId="2F31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627F65E3">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第三方咨询服务单位</w:t>
            </w:r>
          </w:p>
        </w:tc>
        <w:tc>
          <w:tcPr>
            <w:tcW w:w="8020" w:type="dxa"/>
            <w:gridSpan w:val="5"/>
            <w:shd w:val="clear" w:color="auto" w:fill="FFFFFF"/>
            <w:vAlign w:val="center"/>
          </w:tcPr>
          <w:p w14:paraId="4C7492D3">
            <w:pPr>
              <w:pStyle w:val="18"/>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r>
              <w:rPr>
                <w:rFonts w:hint="eastAsia" w:ascii="宋体" w:hAnsi="宋体" w:eastAsia="宋体" w:cs="宋体"/>
                <w:sz w:val="24"/>
                <w:szCs w:val="24"/>
              </w:rPr>
              <w:t>山东善立招标有限公司</w:t>
            </w:r>
          </w:p>
        </w:tc>
      </w:tr>
      <w:tr w14:paraId="44B5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3360" w:type="dxa"/>
            <w:gridSpan w:val="7"/>
            <w:shd w:val="clear" w:color="auto" w:fill="FFFFFF"/>
            <w:vAlign w:val="center"/>
          </w:tcPr>
          <w:p w14:paraId="1B4517FB">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center"/>
              <w:rPr>
                <w:rFonts w:hint="eastAsia" w:ascii="宋体" w:hAnsi="宋体" w:eastAsia="宋体" w:cs="宋体"/>
                <w:sz w:val="24"/>
                <w:szCs w:val="24"/>
                <w:lang w:val="en-US" w:bidi="en-US"/>
              </w:rPr>
            </w:pPr>
            <w:r>
              <w:rPr>
                <w:rFonts w:hint="eastAsia" w:ascii="宋体" w:hAnsi="宋体" w:eastAsia="宋体" w:cs="宋体"/>
                <w:sz w:val="24"/>
                <w:szCs w:val="24"/>
              </w:rPr>
              <w:t>项目信息</w:t>
            </w:r>
          </w:p>
        </w:tc>
      </w:tr>
      <w:tr w14:paraId="787B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40" w:type="dxa"/>
            <w:shd w:val="clear" w:color="auto" w:fill="FFFFFF"/>
            <w:vAlign w:val="center"/>
          </w:tcPr>
          <w:p w14:paraId="096D39B9">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包号</w:t>
            </w:r>
          </w:p>
        </w:tc>
        <w:tc>
          <w:tcPr>
            <w:tcW w:w="4300" w:type="dxa"/>
            <w:shd w:val="clear" w:color="auto" w:fill="FFFFFF"/>
            <w:vAlign w:val="center"/>
          </w:tcPr>
          <w:p w14:paraId="3E4C30D2">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055" w:type="dxa"/>
            <w:shd w:val="clear" w:color="auto" w:fill="FFFFFF"/>
            <w:vAlign w:val="center"/>
          </w:tcPr>
          <w:p w14:paraId="0BF9AE20">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数量</w:t>
            </w:r>
          </w:p>
        </w:tc>
        <w:tc>
          <w:tcPr>
            <w:tcW w:w="1085" w:type="dxa"/>
            <w:shd w:val="clear" w:color="auto" w:fill="FFFFFF"/>
            <w:vAlign w:val="center"/>
          </w:tcPr>
          <w:p w14:paraId="0499C032">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是否</w:t>
            </w:r>
            <w:r>
              <w:rPr>
                <w:rFonts w:hint="eastAsia" w:ascii="宋体" w:hAnsi="宋体" w:eastAsia="宋体" w:cs="宋体"/>
                <w:sz w:val="24"/>
                <w:szCs w:val="24"/>
                <w:lang w:val="en-US" w:eastAsia="zh-CN"/>
              </w:rPr>
              <w:t>允许</w:t>
            </w:r>
            <w:r>
              <w:rPr>
                <w:rFonts w:hint="eastAsia" w:ascii="宋体" w:hAnsi="宋体" w:eastAsia="宋体" w:cs="宋体"/>
                <w:sz w:val="24"/>
                <w:szCs w:val="24"/>
              </w:rPr>
              <w:t>进口</w:t>
            </w:r>
          </w:p>
        </w:tc>
        <w:tc>
          <w:tcPr>
            <w:tcW w:w="1561" w:type="dxa"/>
            <w:shd w:val="clear" w:color="auto" w:fill="FFFFFF"/>
            <w:vAlign w:val="center"/>
          </w:tcPr>
          <w:p w14:paraId="196EE4FB">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是否</w:t>
            </w:r>
          </w:p>
          <w:p w14:paraId="4E53281B">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创新产品</w:t>
            </w:r>
          </w:p>
        </w:tc>
        <w:tc>
          <w:tcPr>
            <w:tcW w:w="2127" w:type="dxa"/>
            <w:shd w:val="clear" w:color="auto" w:fill="FFFFFF"/>
            <w:vAlign w:val="center"/>
          </w:tcPr>
          <w:p w14:paraId="6736731E">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是否专门面向中小微或预留份额</w:t>
            </w:r>
          </w:p>
        </w:tc>
        <w:tc>
          <w:tcPr>
            <w:tcW w:w="2192" w:type="dxa"/>
            <w:shd w:val="clear" w:color="auto" w:fill="FFFFFF"/>
            <w:vAlign w:val="center"/>
          </w:tcPr>
          <w:p w14:paraId="2EEB2189">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预算金额</w:t>
            </w:r>
          </w:p>
          <w:p w14:paraId="0D72643B">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（最高限价）</w:t>
            </w:r>
          </w:p>
        </w:tc>
      </w:tr>
      <w:tr w14:paraId="6A3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40" w:type="dxa"/>
            <w:vMerge w:val="restart"/>
            <w:shd w:val="clear" w:color="auto" w:fill="FFFFFF"/>
            <w:vAlign w:val="center"/>
          </w:tcPr>
          <w:p w14:paraId="457F0728">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A包</w:t>
            </w:r>
          </w:p>
        </w:tc>
        <w:tc>
          <w:tcPr>
            <w:tcW w:w="4300" w:type="dxa"/>
            <w:shd w:val="clear" w:color="auto" w:fill="FFFFFF"/>
            <w:vAlign w:val="center"/>
          </w:tcPr>
          <w:p w14:paraId="354273DB">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人工智能大模型开发训练平台</w:t>
            </w:r>
          </w:p>
        </w:tc>
        <w:tc>
          <w:tcPr>
            <w:tcW w:w="1055" w:type="dxa"/>
            <w:shd w:val="clear" w:color="auto" w:fill="FFFFFF"/>
            <w:vAlign w:val="center"/>
          </w:tcPr>
          <w:p w14:paraId="516368BB">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6</w:t>
            </w:r>
          </w:p>
        </w:tc>
        <w:tc>
          <w:tcPr>
            <w:tcW w:w="1085" w:type="dxa"/>
            <w:shd w:val="clear" w:color="auto" w:fill="FFFFFF"/>
            <w:vAlign w:val="center"/>
          </w:tcPr>
          <w:p w14:paraId="6DB5B568">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1561" w:type="dxa"/>
            <w:shd w:val="clear" w:color="auto" w:fill="FFFFFF"/>
            <w:vAlign w:val="center"/>
          </w:tcPr>
          <w:p w14:paraId="6EFD5110">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27" w:type="dxa"/>
            <w:shd w:val="clear" w:color="auto" w:fill="FFFFFF"/>
            <w:vAlign w:val="center"/>
          </w:tcPr>
          <w:p w14:paraId="071BBD70">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92" w:type="dxa"/>
            <w:vMerge w:val="restart"/>
            <w:shd w:val="clear" w:color="auto" w:fill="FFFFFF"/>
            <w:vAlign w:val="center"/>
          </w:tcPr>
          <w:p w14:paraId="4E3F3772">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470万元</w:t>
            </w:r>
          </w:p>
        </w:tc>
      </w:tr>
      <w:tr w14:paraId="6772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40" w:type="dxa"/>
            <w:vMerge w:val="continue"/>
            <w:shd w:val="clear" w:color="auto" w:fill="FFFFFF"/>
            <w:vAlign w:val="center"/>
          </w:tcPr>
          <w:p w14:paraId="0B4BAA2D">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4300" w:type="dxa"/>
            <w:shd w:val="clear" w:color="auto" w:fill="FFFFFF"/>
            <w:vAlign w:val="center"/>
          </w:tcPr>
          <w:p w14:paraId="70CC36E5">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信创算力服务终端</w:t>
            </w:r>
          </w:p>
        </w:tc>
        <w:tc>
          <w:tcPr>
            <w:tcW w:w="1055" w:type="dxa"/>
            <w:shd w:val="clear" w:color="auto" w:fill="FFFFFF"/>
            <w:vAlign w:val="center"/>
          </w:tcPr>
          <w:p w14:paraId="6562D205">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085" w:type="dxa"/>
            <w:shd w:val="clear" w:color="auto" w:fill="FFFFFF"/>
            <w:vAlign w:val="center"/>
          </w:tcPr>
          <w:p w14:paraId="1B1FFA23">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1561" w:type="dxa"/>
            <w:shd w:val="clear" w:color="auto" w:fill="FFFFFF"/>
            <w:vAlign w:val="center"/>
          </w:tcPr>
          <w:p w14:paraId="34CBCEE8">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27" w:type="dxa"/>
            <w:shd w:val="clear" w:color="auto" w:fill="FFFFFF"/>
            <w:vAlign w:val="center"/>
          </w:tcPr>
          <w:p w14:paraId="09CD6AFC">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92" w:type="dxa"/>
            <w:vMerge w:val="continue"/>
            <w:shd w:val="clear" w:color="auto" w:fill="FFFFFF"/>
            <w:vAlign w:val="center"/>
          </w:tcPr>
          <w:p w14:paraId="288DEAB7">
            <w:pPr>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p>
        </w:tc>
      </w:tr>
      <w:tr w14:paraId="309D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40" w:type="dxa"/>
            <w:vMerge w:val="continue"/>
            <w:shd w:val="clear" w:color="auto" w:fill="FFFFFF"/>
            <w:vAlign w:val="center"/>
          </w:tcPr>
          <w:p w14:paraId="21177F78">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p>
        </w:tc>
        <w:tc>
          <w:tcPr>
            <w:tcW w:w="4300" w:type="dxa"/>
            <w:shd w:val="clear" w:color="auto" w:fill="FFFFFF"/>
            <w:vAlign w:val="center"/>
          </w:tcPr>
          <w:p w14:paraId="1D81F1FE">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信创边缘计算推理服务器</w:t>
            </w:r>
          </w:p>
        </w:tc>
        <w:tc>
          <w:tcPr>
            <w:tcW w:w="1055" w:type="dxa"/>
            <w:shd w:val="clear" w:color="auto" w:fill="FFFFFF"/>
            <w:vAlign w:val="center"/>
          </w:tcPr>
          <w:p w14:paraId="1D2D571F">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085" w:type="dxa"/>
            <w:shd w:val="clear" w:color="auto" w:fill="FFFFFF"/>
            <w:vAlign w:val="center"/>
          </w:tcPr>
          <w:p w14:paraId="6F73FC6D">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1561" w:type="dxa"/>
            <w:shd w:val="clear" w:color="auto" w:fill="FFFFFF"/>
            <w:vAlign w:val="center"/>
          </w:tcPr>
          <w:p w14:paraId="4FA7DC54">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27" w:type="dxa"/>
            <w:shd w:val="clear" w:color="auto" w:fill="FFFFFF"/>
            <w:vAlign w:val="center"/>
          </w:tcPr>
          <w:p w14:paraId="75BC70BB">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92" w:type="dxa"/>
            <w:vMerge w:val="continue"/>
            <w:shd w:val="clear" w:color="auto" w:fill="FFFFFF"/>
            <w:vAlign w:val="center"/>
          </w:tcPr>
          <w:p w14:paraId="593DBD8D">
            <w:pPr>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p>
        </w:tc>
      </w:tr>
      <w:tr w14:paraId="640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40" w:type="dxa"/>
            <w:vMerge w:val="continue"/>
            <w:shd w:val="clear" w:color="auto" w:fill="FFFFFF"/>
            <w:vAlign w:val="center"/>
          </w:tcPr>
          <w:p w14:paraId="75A85AC9">
            <w:pPr>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p>
        </w:tc>
        <w:tc>
          <w:tcPr>
            <w:tcW w:w="4300" w:type="dxa"/>
            <w:shd w:val="clear" w:color="auto" w:fill="FFFFFF"/>
            <w:vAlign w:val="center"/>
          </w:tcPr>
          <w:p w14:paraId="56AFD139">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万兆业务交换机</w:t>
            </w:r>
          </w:p>
        </w:tc>
        <w:tc>
          <w:tcPr>
            <w:tcW w:w="1055" w:type="dxa"/>
            <w:shd w:val="clear" w:color="auto" w:fill="FFFFFF"/>
            <w:vAlign w:val="center"/>
          </w:tcPr>
          <w:p w14:paraId="31FA4974">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085" w:type="dxa"/>
            <w:shd w:val="clear" w:color="auto" w:fill="FFFFFF"/>
            <w:vAlign w:val="center"/>
          </w:tcPr>
          <w:p w14:paraId="69E0C77F">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1561" w:type="dxa"/>
            <w:shd w:val="clear" w:color="auto" w:fill="FFFFFF"/>
            <w:vAlign w:val="center"/>
          </w:tcPr>
          <w:p w14:paraId="6F52439A">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27" w:type="dxa"/>
            <w:shd w:val="clear" w:color="auto" w:fill="FFFFFF"/>
            <w:vAlign w:val="center"/>
          </w:tcPr>
          <w:p w14:paraId="41F85D70">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否</w:t>
            </w:r>
          </w:p>
        </w:tc>
        <w:tc>
          <w:tcPr>
            <w:tcW w:w="2192" w:type="dxa"/>
            <w:vMerge w:val="continue"/>
            <w:shd w:val="clear" w:color="auto" w:fill="FFFFFF"/>
            <w:vAlign w:val="center"/>
          </w:tcPr>
          <w:p w14:paraId="70255A24">
            <w:pPr>
              <w:keepNext w:val="0"/>
              <w:keepLines w:val="0"/>
              <w:pageBreakBefore w:val="0"/>
              <w:kinsoku/>
              <w:wordWrap/>
              <w:overflowPunct/>
              <w:topLinePunct w:val="0"/>
              <w:autoSpaceDE/>
              <w:autoSpaceDN/>
              <w:bidi w:val="0"/>
              <w:adjustRightInd/>
              <w:snapToGrid/>
              <w:spacing w:line="360" w:lineRule="exact"/>
              <w:textAlignment w:val="center"/>
              <w:rPr>
                <w:rFonts w:hint="eastAsia" w:ascii="宋体" w:hAnsi="宋体" w:eastAsia="宋体" w:cs="宋体"/>
                <w:sz w:val="24"/>
                <w:szCs w:val="24"/>
              </w:rPr>
            </w:pPr>
          </w:p>
        </w:tc>
      </w:tr>
      <w:tr w14:paraId="3095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3360" w:type="dxa"/>
            <w:gridSpan w:val="7"/>
            <w:shd w:val="clear" w:color="auto" w:fill="FFFFFF"/>
            <w:vAlign w:val="center"/>
          </w:tcPr>
          <w:p w14:paraId="2F1E1846">
            <w:pPr>
              <w:keepNext w:val="0"/>
              <w:keepLines w:val="0"/>
              <w:pageBreakBefore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lang w:val="zh-TW" w:eastAsia="zh-TW" w:bidi="zh-TW"/>
              </w:rPr>
              <w:t>需求</w:t>
            </w:r>
            <w:r>
              <w:rPr>
                <w:rFonts w:hint="eastAsia" w:ascii="宋体" w:hAnsi="宋体" w:eastAsia="宋体" w:cs="宋体"/>
                <w:sz w:val="24"/>
                <w:szCs w:val="24"/>
                <w:lang w:val="zh-TW" w:bidi="zh-TW"/>
              </w:rPr>
              <w:t>描述</w:t>
            </w:r>
          </w:p>
        </w:tc>
      </w:tr>
      <w:tr w14:paraId="2CDF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04AA0036">
            <w:pPr>
              <w:spacing w:line="240" w:lineRule="auto"/>
              <w:rPr>
                <w:rFonts w:hint="eastAsia" w:ascii="宋体" w:hAnsi="宋体" w:eastAsia="宋体" w:cs="宋体"/>
                <w:sz w:val="24"/>
                <w:szCs w:val="24"/>
              </w:rPr>
            </w:pPr>
            <w:r>
              <w:rPr>
                <w:rFonts w:hint="eastAsia" w:ascii="宋体" w:hAnsi="宋体" w:eastAsia="宋体" w:cs="宋体"/>
                <w:sz w:val="24"/>
                <w:szCs w:val="24"/>
              </w:rPr>
              <w:t>技术要求</w:t>
            </w:r>
          </w:p>
        </w:tc>
        <w:tc>
          <w:tcPr>
            <w:tcW w:w="8020" w:type="dxa"/>
            <w:gridSpan w:val="5"/>
            <w:shd w:val="clear" w:color="auto" w:fill="FFFFFF"/>
            <w:vAlign w:val="center"/>
          </w:tcPr>
          <w:p w14:paraId="08D6D5E3">
            <w:pPr>
              <w:pStyle w:val="5"/>
              <w:spacing w:line="240" w:lineRule="auto"/>
              <w:ind w:left="0" w:leftChars="0"/>
              <w:rPr>
                <w:rFonts w:hint="eastAsia" w:ascii="宋体" w:hAnsi="宋体" w:eastAsia="宋体" w:cs="宋体"/>
                <w:sz w:val="24"/>
                <w:szCs w:val="24"/>
                <w:lang w:val="zh-CN"/>
              </w:rPr>
            </w:pPr>
            <w:r>
              <w:rPr>
                <w:rFonts w:hint="eastAsia" w:ascii="宋体" w:hAnsi="宋体" w:eastAsia="宋体" w:cs="宋体"/>
                <w:sz w:val="24"/>
                <w:szCs w:val="24"/>
                <w:lang w:val="zh-CN"/>
              </w:rPr>
              <w:t>一、项目概况</w:t>
            </w:r>
          </w:p>
          <w:p w14:paraId="34D816C5">
            <w:pPr>
              <w:spacing w:line="240" w:lineRule="auto"/>
              <w:rPr>
                <w:rFonts w:hint="eastAsia" w:ascii="宋体" w:hAnsi="宋体" w:eastAsia="宋体" w:cs="宋体"/>
                <w:iCs/>
                <w:sz w:val="24"/>
                <w:szCs w:val="24"/>
                <w:lang w:val="zh-CN"/>
              </w:rPr>
            </w:pPr>
            <w:r>
              <w:rPr>
                <w:rFonts w:hint="eastAsia" w:ascii="宋体" w:hAnsi="宋体" w:eastAsia="宋体" w:cs="宋体"/>
                <w:iCs/>
                <w:sz w:val="24"/>
                <w:szCs w:val="24"/>
                <w:lang w:val="zh-CN"/>
              </w:rPr>
              <w:t>本项目为</w:t>
            </w:r>
            <w:r>
              <w:rPr>
                <w:rFonts w:hint="eastAsia" w:ascii="宋体" w:hAnsi="宋体" w:eastAsia="宋体" w:cs="宋体"/>
                <w:sz w:val="24"/>
                <w:szCs w:val="24"/>
              </w:rPr>
              <w:t>山东师范大学人工智能训练服务器系统平台采购项目</w:t>
            </w:r>
            <w:r>
              <w:rPr>
                <w:rFonts w:hint="eastAsia" w:ascii="宋体" w:hAnsi="宋体" w:eastAsia="宋体" w:cs="宋体"/>
                <w:iCs/>
                <w:sz w:val="24"/>
                <w:szCs w:val="24"/>
                <w:lang w:val="zh-CN"/>
              </w:rPr>
              <w:t>，</w:t>
            </w:r>
            <w:r>
              <w:rPr>
                <w:rFonts w:hint="eastAsia" w:ascii="宋体" w:hAnsi="宋体" w:eastAsia="宋体" w:cs="宋体"/>
                <w:iCs/>
                <w:sz w:val="24"/>
                <w:szCs w:val="24"/>
              </w:rPr>
              <w:t>共一个包，</w:t>
            </w:r>
            <w:r>
              <w:rPr>
                <w:rFonts w:hint="eastAsia" w:ascii="宋体" w:hAnsi="宋体" w:eastAsia="宋体" w:cs="宋体"/>
                <w:iCs/>
                <w:sz w:val="24"/>
                <w:szCs w:val="24"/>
                <w:lang w:val="zh-CN"/>
              </w:rPr>
              <w:t>总预算</w:t>
            </w:r>
            <w:r>
              <w:rPr>
                <w:rFonts w:hint="eastAsia" w:ascii="宋体" w:hAnsi="宋体" w:eastAsia="宋体" w:cs="宋体"/>
                <w:sz w:val="24"/>
                <w:szCs w:val="24"/>
              </w:rPr>
              <w:t>470</w:t>
            </w:r>
            <w:r>
              <w:rPr>
                <w:rFonts w:hint="eastAsia" w:ascii="宋体" w:hAnsi="宋体" w:eastAsia="宋体" w:cs="宋体"/>
                <w:iCs/>
                <w:sz w:val="24"/>
                <w:szCs w:val="24"/>
                <w:lang w:val="zh-CN"/>
              </w:rPr>
              <w:t>万元。</w:t>
            </w:r>
          </w:p>
          <w:p w14:paraId="60EE4AF9">
            <w:pPr>
              <w:spacing w:line="240" w:lineRule="auto"/>
              <w:rPr>
                <w:rFonts w:hint="eastAsia" w:ascii="宋体" w:hAnsi="宋体" w:eastAsia="宋体" w:cs="宋体"/>
                <w:sz w:val="24"/>
                <w:szCs w:val="24"/>
              </w:rPr>
            </w:pPr>
            <w:r>
              <w:rPr>
                <w:rFonts w:hint="eastAsia" w:ascii="宋体" w:hAnsi="宋体" w:eastAsia="宋体" w:cs="宋体"/>
                <w:sz w:val="24"/>
                <w:szCs w:val="24"/>
                <w:lang w:val="zh-CN"/>
              </w:rPr>
              <w:t>二、技术要求</w:t>
            </w:r>
            <w:r>
              <w:rPr>
                <w:rFonts w:hint="eastAsia" w:ascii="宋体" w:hAnsi="宋体" w:eastAsia="宋体" w:cs="宋体"/>
                <w:sz w:val="24"/>
                <w:szCs w:val="24"/>
              </w:rPr>
              <w:t xml:space="preserve"> </w:t>
            </w:r>
          </w:p>
          <w:p w14:paraId="30BF1045">
            <w:pPr>
              <w:spacing w:line="240" w:lineRule="auto"/>
              <w:rPr>
                <w:rFonts w:hint="eastAsia" w:ascii="宋体" w:hAnsi="宋体" w:eastAsia="宋体" w:cs="宋体"/>
                <w:sz w:val="24"/>
                <w:szCs w:val="24"/>
              </w:rPr>
            </w:pPr>
            <w:r>
              <w:rPr>
                <w:rFonts w:hint="eastAsia" w:ascii="宋体" w:hAnsi="宋体" w:eastAsia="宋体" w:cs="宋体"/>
                <w:sz w:val="24"/>
                <w:szCs w:val="24"/>
              </w:rPr>
              <w:t>详见附件详细技术参数。</w:t>
            </w:r>
          </w:p>
        </w:tc>
      </w:tr>
      <w:tr w14:paraId="79D8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25313CC1">
            <w:pPr>
              <w:spacing w:line="240" w:lineRule="auto"/>
              <w:rPr>
                <w:rFonts w:hint="eastAsia" w:ascii="宋体" w:hAnsi="宋体" w:eastAsia="宋体" w:cs="宋体"/>
                <w:sz w:val="24"/>
                <w:szCs w:val="24"/>
              </w:rPr>
            </w:pPr>
            <w:r>
              <w:rPr>
                <w:rFonts w:hint="eastAsia" w:ascii="宋体" w:hAnsi="宋体" w:eastAsia="宋体" w:cs="宋体"/>
                <w:sz w:val="24"/>
                <w:szCs w:val="24"/>
              </w:rPr>
              <w:t>商务要求</w:t>
            </w:r>
          </w:p>
        </w:tc>
        <w:tc>
          <w:tcPr>
            <w:tcW w:w="8020" w:type="dxa"/>
            <w:gridSpan w:val="5"/>
            <w:shd w:val="clear" w:color="auto" w:fill="FFFFFF"/>
            <w:vAlign w:val="center"/>
          </w:tcPr>
          <w:p w14:paraId="6CF473D4">
            <w:pPr>
              <w:spacing w:line="240" w:lineRule="auto"/>
              <w:rPr>
                <w:rFonts w:hint="eastAsia" w:ascii="宋体" w:hAnsi="宋体" w:eastAsia="宋体" w:cs="宋体"/>
                <w:sz w:val="24"/>
                <w:szCs w:val="24"/>
              </w:rPr>
            </w:pPr>
            <w:r>
              <w:rPr>
                <w:rFonts w:hint="eastAsia" w:ascii="宋体" w:hAnsi="宋体" w:eastAsia="宋体" w:cs="宋体"/>
                <w:b/>
                <w:bCs/>
                <w:sz w:val="24"/>
                <w:szCs w:val="24"/>
              </w:rPr>
              <w:t>1、交货期</w:t>
            </w:r>
            <w:r>
              <w:rPr>
                <w:rFonts w:hint="eastAsia" w:ascii="宋体" w:hAnsi="宋体" w:eastAsia="宋体" w:cs="宋体"/>
                <w:sz w:val="24"/>
                <w:szCs w:val="24"/>
              </w:rPr>
              <w:t>：国产设备自合同签订之日起30天内供货、安装调试完毕。</w:t>
            </w:r>
          </w:p>
          <w:p w14:paraId="790C834C">
            <w:pPr>
              <w:spacing w:line="240" w:lineRule="auto"/>
              <w:rPr>
                <w:rFonts w:hint="eastAsia" w:ascii="宋体" w:hAnsi="宋体" w:eastAsia="宋体" w:cs="宋体"/>
                <w:sz w:val="24"/>
                <w:szCs w:val="24"/>
              </w:rPr>
            </w:pPr>
            <w:r>
              <w:rPr>
                <w:rFonts w:hint="eastAsia" w:ascii="宋体" w:hAnsi="宋体" w:eastAsia="宋体" w:cs="宋体"/>
                <w:b/>
                <w:bCs/>
                <w:sz w:val="24"/>
                <w:szCs w:val="24"/>
              </w:rPr>
              <w:t>2、交付地点</w:t>
            </w:r>
            <w:r>
              <w:rPr>
                <w:rFonts w:hint="eastAsia" w:ascii="宋体" w:hAnsi="宋体" w:eastAsia="宋体" w:cs="宋体"/>
                <w:sz w:val="24"/>
                <w:szCs w:val="24"/>
              </w:rPr>
              <w:t>：设备全部到达山东师范大学校内指定地点。</w:t>
            </w:r>
          </w:p>
          <w:p w14:paraId="70160167">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3、付款条件：</w:t>
            </w:r>
          </w:p>
          <w:p w14:paraId="1740C3EE">
            <w:pPr>
              <w:spacing w:line="240" w:lineRule="auto"/>
              <w:rPr>
                <w:rFonts w:hint="eastAsia" w:ascii="宋体" w:hAnsi="宋体" w:eastAsia="宋体" w:cs="宋体"/>
                <w:sz w:val="24"/>
                <w:szCs w:val="24"/>
              </w:rPr>
            </w:pPr>
            <w:r>
              <w:rPr>
                <w:rFonts w:hint="eastAsia" w:ascii="宋体" w:hAnsi="宋体" w:eastAsia="宋体" w:cs="宋体"/>
                <w:sz w:val="24"/>
                <w:szCs w:val="24"/>
              </w:rPr>
              <w:t>国产设备：招标人在签订合同后7个工作日支付合同金额的30%；中标人供货并安装调试完成，经招标人验收合格后，招标人支付至合同价款的100%。</w:t>
            </w:r>
          </w:p>
          <w:p w14:paraId="2AA95083">
            <w:pPr>
              <w:spacing w:line="240" w:lineRule="auto"/>
              <w:rPr>
                <w:rFonts w:hint="eastAsia" w:ascii="宋体" w:hAnsi="宋体" w:eastAsia="宋体" w:cs="宋体"/>
                <w:sz w:val="24"/>
                <w:szCs w:val="24"/>
              </w:rPr>
            </w:pPr>
            <w:r>
              <w:rPr>
                <w:rFonts w:hint="eastAsia" w:ascii="宋体" w:hAnsi="宋体" w:eastAsia="宋体" w:cs="宋体"/>
                <w:sz w:val="24"/>
                <w:szCs w:val="24"/>
              </w:rPr>
              <w:t>4、验收：</w:t>
            </w:r>
          </w:p>
          <w:p w14:paraId="3C827D45">
            <w:pPr>
              <w:spacing w:line="240" w:lineRule="auto"/>
              <w:rPr>
                <w:rFonts w:hint="eastAsia" w:ascii="宋体" w:hAnsi="宋体" w:eastAsia="宋体" w:cs="宋体"/>
                <w:sz w:val="24"/>
                <w:szCs w:val="24"/>
              </w:rPr>
            </w:pPr>
            <w:r>
              <w:rPr>
                <w:rFonts w:hint="eastAsia" w:ascii="宋体" w:hAnsi="宋体" w:eastAsia="宋体" w:cs="宋体"/>
                <w:sz w:val="24"/>
                <w:szCs w:val="24"/>
              </w:rPr>
              <w:t>采购人根据《山东省政府采购履约验收管理办法》及采购人要求进行验收。</w:t>
            </w:r>
          </w:p>
          <w:p w14:paraId="750C8513">
            <w:pPr>
              <w:spacing w:line="240" w:lineRule="auto"/>
              <w:rPr>
                <w:rFonts w:hint="eastAsia" w:ascii="宋体" w:hAnsi="宋体" w:eastAsia="宋体" w:cs="宋体"/>
                <w:sz w:val="24"/>
                <w:szCs w:val="24"/>
              </w:rPr>
            </w:pPr>
            <w:r>
              <w:rPr>
                <w:rFonts w:hint="eastAsia" w:ascii="宋体" w:hAnsi="宋体" w:eastAsia="宋体" w:cs="宋体"/>
                <w:sz w:val="24"/>
                <w:szCs w:val="24"/>
              </w:rPr>
              <w:t>4.1货物运抵现场后，采购人将对货物数量、质量、规格等进行检验。如发现货物和规格或者两者都与招标文件、投标文件、合同不符，采购人有权限根据检验结果要求中标人立即更换或者提出索赔要求。</w:t>
            </w:r>
          </w:p>
          <w:p w14:paraId="7C5A0EE7">
            <w:pPr>
              <w:spacing w:line="240" w:lineRule="auto"/>
              <w:rPr>
                <w:rFonts w:hint="eastAsia" w:ascii="宋体" w:hAnsi="宋体" w:eastAsia="宋体" w:cs="宋体"/>
                <w:sz w:val="24"/>
                <w:szCs w:val="24"/>
              </w:rPr>
            </w:pPr>
            <w:r>
              <w:rPr>
                <w:rFonts w:hint="eastAsia" w:ascii="宋体" w:hAnsi="宋体" w:eastAsia="宋体" w:cs="宋体"/>
                <w:sz w:val="24"/>
                <w:szCs w:val="24"/>
              </w:rPr>
              <w:t>4.2货物由中标人进行安装，完毕后，采购人应对货物的数量、质量、规格、性能等进行详细而全面的检验。安装完毕7日后，证明货物以及安装质量无任何问题，由采购人组成的验收小组签署验收报告，作为付款凭据之一。</w:t>
            </w:r>
          </w:p>
          <w:p w14:paraId="25FAAE6D">
            <w:pPr>
              <w:spacing w:line="240" w:lineRule="auto"/>
              <w:rPr>
                <w:rFonts w:hint="eastAsia" w:ascii="宋体" w:hAnsi="宋体" w:eastAsia="宋体" w:cs="宋体"/>
                <w:sz w:val="24"/>
                <w:szCs w:val="24"/>
              </w:rPr>
            </w:pPr>
            <w:r>
              <w:rPr>
                <w:rFonts w:hint="eastAsia" w:ascii="宋体" w:hAnsi="宋体" w:eastAsia="宋体" w:cs="宋体"/>
                <w:sz w:val="24"/>
                <w:szCs w:val="24"/>
              </w:rPr>
              <w:t>5、质量保证期：</w:t>
            </w:r>
          </w:p>
          <w:p w14:paraId="1D0264D7">
            <w:pPr>
              <w:spacing w:line="240" w:lineRule="auto"/>
              <w:rPr>
                <w:rFonts w:hint="eastAsia" w:ascii="宋体" w:hAnsi="宋体" w:eastAsia="宋体" w:cs="宋体"/>
                <w:b/>
                <w:sz w:val="24"/>
                <w:szCs w:val="24"/>
              </w:rPr>
            </w:pPr>
            <w:r>
              <w:rPr>
                <w:rFonts w:hint="eastAsia" w:ascii="宋体" w:hAnsi="宋体" w:eastAsia="宋体" w:cs="宋体"/>
                <w:sz w:val="24"/>
                <w:szCs w:val="24"/>
              </w:rPr>
              <w:t>5.1质保期：国产设备原厂质保3年。（清单技术规格要求中有要求的按照清单要求执行）。国家主管部门或者行业标准对货物本身有更高要求的，从其规定并在合同中约定，投标人亦可提报更长的质保期，质保及售后须注明质保主体（原厂或投标人）。</w:t>
            </w:r>
          </w:p>
          <w:p w14:paraId="7FE34C64">
            <w:pPr>
              <w:spacing w:line="240" w:lineRule="auto"/>
              <w:rPr>
                <w:rFonts w:hint="eastAsia" w:ascii="宋体" w:hAnsi="宋体" w:eastAsia="宋体" w:cs="宋体"/>
                <w:sz w:val="24"/>
                <w:szCs w:val="24"/>
              </w:rPr>
            </w:pPr>
            <w:r>
              <w:rPr>
                <w:rFonts w:hint="eastAsia" w:ascii="宋体" w:hAnsi="宋体" w:eastAsia="宋体" w:cs="宋体"/>
                <w:sz w:val="24"/>
                <w:szCs w:val="24"/>
              </w:rPr>
              <w:t>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4DF692AF">
            <w:pPr>
              <w:spacing w:line="240" w:lineRule="auto"/>
              <w:rPr>
                <w:rFonts w:hint="eastAsia" w:ascii="宋体" w:hAnsi="宋体" w:eastAsia="宋体" w:cs="宋体"/>
                <w:sz w:val="24"/>
                <w:szCs w:val="24"/>
              </w:rPr>
            </w:pPr>
            <w:r>
              <w:rPr>
                <w:rFonts w:hint="eastAsia" w:ascii="宋体" w:hAnsi="宋体" w:eastAsia="宋体" w:cs="宋体"/>
                <w:sz w:val="24"/>
                <w:szCs w:val="24"/>
              </w:rPr>
              <w:t>6、售后服务：</w:t>
            </w:r>
          </w:p>
          <w:p w14:paraId="0766353F">
            <w:pPr>
              <w:spacing w:line="240" w:lineRule="auto"/>
              <w:rPr>
                <w:rFonts w:hint="eastAsia" w:ascii="宋体" w:hAnsi="宋体" w:eastAsia="宋体" w:cs="宋体"/>
                <w:sz w:val="24"/>
                <w:szCs w:val="24"/>
              </w:rPr>
            </w:pPr>
            <w:r>
              <w:rPr>
                <w:rFonts w:hint="eastAsia" w:ascii="宋体" w:hAnsi="宋体" w:eastAsia="宋体" w:cs="宋体"/>
                <w:sz w:val="24"/>
                <w:szCs w:val="24"/>
              </w:rPr>
              <w:t>6.1投标人应提供及时周到的售后服务，应保证每季度至少一次上门回访、检修。</w:t>
            </w:r>
          </w:p>
          <w:p w14:paraId="7715540D">
            <w:pPr>
              <w:spacing w:line="240" w:lineRule="auto"/>
              <w:rPr>
                <w:rFonts w:hint="eastAsia" w:ascii="宋体" w:hAnsi="宋体" w:eastAsia="宋体" w:cs="宋体"/>
                <w:sz w:val="24"/>
                <w:szCs w:val="24"/>
              </w:rPr>
            </w:pPr>
            <w:r>
              <w:rPr>
                <w:rFonts w:hint="eastAsia" w:ascii="宋体" w:hAnsi="宋体" w:eastAsia="宋体" w:cs="宋体"/>
                <w:sz w:val="24"/>
                <w:szCs w:val="24"/>
              </w:rPr>
              <w:t>6.2投标人自报响应、维修时间以及备品备件情况。</w:t>
            </w:r>
          </w:p>
          <w:p w14:paraId="08467056">
            <w:pPr>
              <w:spacing w:line="240" w:lineRule="auto"/>
              <w:rPr>
                <w:rFonts w:hint="eastAsia" w:ascii="宋体" w:hAnsi="宋体" w:eastAsia="宋体" w:cs="宋体"/>
                <w:sz w:val="24"/>
                <w:szCs w:val="24"/>
              </w:rPr>
            </w:pPr>
            <w:r>
              <w:rPr>
                <w:rFonts w:hint="eastAsia" w:ascii="宋体" w:hAnsi="宋体" w:eastAsia="宋体" w:cs="宋体"/>
                <w:sz w:val="24"/>
                <w:szCs w:val="24"/>
              </w:rPr>
              <w:t>6.3投标人应提供7×24小时的技术支持服务，确保故障能及时处理，且需具备远程和现场支持能力。</w:t>
            </w:r>
          </w:p>
          <w:p w14:paraId="11503F3A">
            <w:pPr>
              <w:pStyle w:val="15"/>
              <w:numPr>
                <w:ilvl w:val="0"/>
                <w:numId w:val="1"/>
              </w:numPr>
              <w:spacing w:line="240" w:lineRule="auto"/>
              <w:ind w:firstLine="400" w:firstLineChars="0"/>
              <w:rPr>
                <w:rFonts w:hint="eastAsia" w:ascii="宋体" w:hAnsi="宋体" w:eastAsia="宋体" w:cs="宋体"/>
                <w:sz w:val="24"/>
                <w:szCs w:val="24"/>
              </w:rPr>
            </w:pPr>
            <w:r>
              <w:rPr>
                <w:rFonts w:hint="eastAsia" w:ascii="宋体" w:hAnsi="宋体" w:eastAsia="宋体" w:cs="宋体"/>
                <w:sz w:val="24"/>
                <w:szCs w:val="24"/>
              </w:rPr>
              <w:t>培训</w:t>
            </w:r>
          </w:p>
          <w:p w14:paraId="4E965F73">
            <w:pPr>
              <w:spacing w:line="240" w:lineRule="auto"/>
              <w:rPr>
                <w:rFonts w:hint="eastAsia" w:ascii="宋体" w:hAnsi="宋体" w:eastAsia="宋体" w:cs="宋体"/>
                <w:sz w:val="24"/>
                <w:szCs w:val="24"/>
              </w:rPr>
            </w:pPr>
            <w:r>
              <w:rPr>
                <w:rFonts w:hint="eastAsia" w:ascii="宋体" w:hAnsi="宋体" w:eastAsia="宋体" w:cs="宋体"/>
                <w:sz w:val="24"/>
                <w:szCs w:val="24"/>
              </w:rPr>
              <w:t>投标人提供现场技术培训，包括设备的日常保养和维护，操作的技术要领，常见故障处理的技术培训等，直至其掌握操作技能为止。</w:t>
            </w:r>
          </w:p>
        </w:tc>
      </w:tr>
      <w:tr w14:paraId="59BA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03D708EC">
            <w:pPr>
              <w:spacing w:line="240" w:lineRule="auto"/>
              <w:rPr>
                <w:rFonts w:hint="eastAsia" w:ascii="宋体" w:hAnsi="宋体" w:eastAsia="宋体" w:cs="宋体"/>
                <w:sz w:val="24"/>
                <w:szCs w:val="24"/>
              </w:rPr>
            </w:pPr>
            <w:r>
              <w:rPr>
                <w:rFonts w:hint="eastAsia" w:ascii="宋体" w:hAnsi="宋体" w:eastAsia="宋体" w:cs="宋体"/>
                <w:sz w:val="24"/>
                <w:szCs w:val="24"/>
              </w:rPr>
              <w:t>政策要求</w:t>
            </w:r>
          </w:p>
        </w:tc>
        <w:tc>
          <w:tcPr>
            <w:tcW w:w="8020" w:type="dxa"/>
            <w:gridSpan w:val="5"/>
            <w:shd w:val="clear" w:color="auto" w:fill="FFFFFF"/>
            <w:vAlign w:val="center"/>
          </w:tcPr>
          <w:p w14:paraId="6B7DF204">
            <w:pPr>
              <w:pStyle w:val="5"/>
              <w:spacing w:line="24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严格落实财政部、工业和信息化部《政府采购促进中小企业发展管理办法》（财库〔2020〕46号）、《财政部 司法部关于政府采购支持监狱企业发展有关问题的通知》（财库〔2014〕68号）、《关于促进残疾人就业政府采购政策的通知》（财库[2017]141号）、《关于进一步发挥政府采购政策功能支持中小企业发展的通知》、《关于调整优化节能产品、环境标志产品政府采购执行机制的通知》、《关于印发节能产品政府采购品目清单的通知》、《关于印发环境标志产品政府采购品目清单的通知》等</w:t>
            </w:r>
            <w:r>
              <w:rPr>
                <w:rFonts w:hint="eastAsia" w:ascii="宋体" w:hAnsi="宋体" w:eastAsia="宋体" w:cs="宋体"/>
                <w:sz w:val="24"/>
                <w:szCs w:val="24"/>
              </w:rPr>
              <w:t>国家最新</w:t>
            </w:r>
            <w:r>
              <w:rPr>
                <w:rFonts w:hint="eastAsia" w:ascii="宋体" w:hAnsi="宋体" w:eastAsia="宋体" w:cs="宋体"/>
                <w:sz w:val="24"/>
                <w:szCs w:val="24"/>
                <w:lang w:val="zh-CN"/>
              </w:rPr>
              <w:t>政府采购政策。</w:t>
            </w:r>
          </w:p>
        </w:tc>
      </w:tr>
      <w:tr w14:paraId="53A3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5F9C60EB">
            <w:pPr>
              <w:spacing w:line="240" w:lineRule="auto"/>
              <w:rPr>
                <w:rFonts w:hint="eastAsia" w:ascii="宋体" w:hAnsi="宋体" w:eastAsia="宋体" w:cs="宋体"/>
                <w:sz w:val="24"/>
                <w:szCs w:val="24"/>
              </w:rPr>
            </w:pPr>
            <w:r>
              <w:rPr>
                <w:rFonts w:hint="eastAsia" w:ascii="宋体" w:hAnsi="宋体" w:eastAsia="宋体" w:cs="宋体"/>
                <w:sz w:val="24"/>
                <w:szCs w:val="24"/>
              </w:rPr>
              <w:t>绩效目标</w:t>
            </w:r>
          </w:p>
        </w:tc>
        <w:tc>
          <w:tcPr>
            <w:tcW w:w="8020" w:type="dxa"/>
            <w:gridSpan w:val="5"/>
            <w:shd w:val="clear" w:color="auto" w:fill="FFFFFF"/>
            <w:vAlign w:val="center"/>
          </w:tcPr>
          <w:p w14:paraId="0D3EF5EF">
            <w:pPr>
              <w:pStyle w:val="5"/>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1、高效计算能力提升：通过采购高性能服务器，显著提升实验室在深度学习和高性能计算任务中的计算速度和处理能力。 </w:t>
            </w:r>
          </w:p>
          <w:p w14:paraId="436D8E24">
            <w:pPr>
              <w:pStyle w:val="5"/>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2、科研成果产出：支持人工智能研究的项目实施，促进国家自然科学基金项目的高质量完成，推动科研成果的产出和应用。 </w:t>
            </w:r>
          </w:p>
          <w:p w14:paraId="5CF2DD62">
            <w:pPr>
              <w:pStyle w:val="5"/>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3、系统稳定性和安全性：确保设备长时间稳定运行，减少故障率，提升系统的安全性，保障数据安全。 </w:t>
            </w:r>
          </w:p>
          <w:p w14:paraId="6C23DE6D">
            <w:pPr>
              <w:pStyle w:val="5"/>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4、节能环保：实现设备在高效运作的同时符合国家节能环保标准，降低能耗并减少环境影响。 </w:t>
            </w:r>
          </w:p>
          <w:p w14:paraId="3718F608">
            <w:pPr>
              <w:pStyle w:val="5"/>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5、技术人员能力提升：通过培训，提升实验室技术人员的设备操作和维护能力。</w:t>
            </w:r>
          </w:p>
        </w:tc>
      </w:tr>
      <w:tr w14:paraId="48A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40" w:type="dxa"/>
            <w:gridSpan w:val="2"/>
            <w:shd w:val="clear" w:color="auto" w:fill="FFFFFF"/>
            <w:vAlign w:val="center"/>
          </w:tcPr>
          <w:p w14:paraId="3E237FFE">
            <w:pPr>
              <w:spacing w:line="240" w:lineRule="auto"/>
              <w:rPr>
                <w:rFonts w:hint="eastAsia" w:ascii="宋体" w:hAnsi="宋体" w:eastAsia="宋体" w:cs="宋体"/>
                <w:sz w:val="24"/>
                <w:szCs w:val="24"/>
              </w:rPr>
            </w:pPr>
            <w:r>
              <w:rPr>
                <w:rFonts w:hint="eastAsia" w:ascii="宋体" w:hAnsi="宋体" w:eastAsia="宋体" w:cs="宋体"/>
                <w:sz w:val="24"/>
                <w:szCs w:val="24"/>
              </w:rPr>
              <w:t>其他要求</w:t>
            </w:r>
          </w:p>
        </w:tc>
        <w:tc>
          <w:tcPr>
            <w:tcW w:w="8020" w:type="dxa"/>
            <w:gridSpan w:val="5"/>
            <w:shd w:val="clear" w:color="auto" w:fill="FFFFFF"/>
            <w:vAlign w:val="center"/>
          </w:tcPr>
          <w:p w14:paraId="72F202C5">
            <w:pPr>
              <w:spacing w:line="240" w:lineRule="auto"/>
              <w:rPr>
                <w:rFonts w:hint="eastAsia" w:ascii="宋体" w:hAnsi="宋体" w:eastAsia="宋体" w:cs="宋体"/>
                <w:sz w:val="24"/>
                <w:szCs w:val="24"/>
              </w:rPr>
            </w:pPr>
            <w:r>
              <w:rPr>
                <w:rFonts w:hint="eastAsia" w:ascii="宋体" w:hAnsi="宋体" w:eastAsia="宋体" w:cs="宋体"/>
                <w:sz w:val="24"/>
                <w:szCs w:val="24"/>
              </w:rPr>
              <w:t>1、投标人资格要求：</w:t>
            </w:r>
          </w:p>
          <w:p w14:paraId="4961350E">
            <w:pPr>
              <w:spacing w:line="240" w:lineRule="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14:paraId="313D2CBC">
            <w:pPr>
              <w:spacing w:line="240" w:lineRule="auto"/>
              <w:rPr>
                <w:rFonts w:hint="eastAsia" w:ascii="宋体" w:hAnsi="宋体" w:eastAsia="宋体" w:cs="宋体"/>
                <w:sz w:val="24"/>
                <w:szCs w:val="24"/>
              </w:rPr>
            </w:pPr>
            <w:r>
              <w:rPr>
                <w:rFonts w:hint="eastAsia" w:ascii="宋体" w:hAnsi="宋体" w:eastAsia="宋体" w:cs="宋体"/>
                <w:sz w:val="24"/>
                <w:szCs w:val="24"/>
              </w:rPr>
              <w:t>（2）在“信用中国”（www.creditchina.gov.cn）、中国政府采购网（www.ccgp.gov.cn）、“信用山东”（credit.shandong.gov.cn）等网站中被列入失信被执行人、重大税收违法失信主体、政府采购严重违法失信行为记录名单的投标人，不得参加本次政府采购活动；</w:t>
            </w:r>
          </w:p>
          <w:p w14:paraId="12E9E930">
            <w:pPr>
              <w:spacing w:line="240" w:lineRule="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（3）单位负责人为同一人或者存在直接控股、管理关系的不同投标人，不得参加同一合同项下（同一包号）的政府采购活动；</w:t>
            </w:r>
          </w:p>
          <w:p w14:paraId="32A39574">
            <w:pPr>
              <w:spacing w:line="240" w:lineRule="auto"/>
              <w:rPr>
                <w:rFonts w:hint="eastAsia" w:ascii="宋体" w:hAnsi="宋体" w:eastAsia="宋体" w:cs="宋体"/>
                <w:sz w:val="24"/>
                <w:szCs w:val="24"/>
              </w:rPr>
            </w:pPr>
            <w:r>
              <w:rPr>
                <w:rFonts w:hint="eastAsia" w:ascii="宋体" w:hAnsi="宋体" w:eastAsia="宋体" w:cs="宋体"/>
                <w:sz w:val="24"/>
                <w:szCs w:val="24"/>
              </w:rPr>
              <w:t>（4）本项目不接受联合体投标。</w:t>
            </w:r>
          </w:p>
        </w:tc>
      </w:tr>
    </w:tbl>
    <w:p w14:paraId="4EBC08C2">
      <w:r>
        <w:rPr>
          <w:rFonts w:hint="eastAsia" w:ascii="宋体" w:hAnsi="宋体" w:cs="宋体"/>
          <w:b/>
          <w:bCs/>
          <w:sz w:val="28"/>
          <w:szCs w:val="28"/>
          <w:highlight w:val="none"/>
        </w:rPr>
        <w:t>附件、详细技术参数</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292"/>
        <w:gridCol w:w="526"/>
        <w:gridCol w:w="526"/>
        <w:gridCol w:w="805"/>
        <w:gridCol w:w="805"/>
        <w:gridCol w:w="805"/>
        <w:gridCol w:w="836"/>
        <w:gridCol w:w="7237"/>
      </w:tblGrid>
      <w:tr w14:paraId="1354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shd w:val="clear" w:color="auto" w:fill="auto"/>
            <w:vAlign w:val="center"/>
          </w:tcPr>
          <w:p w14:paraId="6C6CB22D">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0" w:type="auto"/>
            <w:shd w:val="clear" w:color="auto" w:fill="auto"/>
            <w:vAlign w:val="center"/>
          </w:tcPr>
          <w:p w14:paraId="20FC559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设备名称</w:t>
            </w:r>
          </w:p>
        </w:tc>
        <w:tc>
          <w:tcPr>
            <w:tcW w:w="0" w:type="auto"/>
            <w:shd w:val="clear" w:color="auto" w:fill="auto"/>
            <w:vAlign w:val="center"/>
          </w:tcPr>
          <w:p w14:paraId="0B6C7BC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数量</w:t>
            </w:r>
          </w:p>
        </w:tc>
        <w:tc>
          <w:tcPr>
            <w:tcW w:w="0" w:type="auto"/>
            <w:shd w:val="clear" w:color="auto" w:fill="auto"/>
            <w:vAlign w:val="center"/>
          </w:tcPr>
          <w:p w14:paraId="5BD4D5FC">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单位</w:t>
            </w:r>
          </w:p>
        </w:tc>
        <w:tc>
          <w:tcPr>
            <w:tcW w:w="0" w:type="auto"/>
            <w:shd w:val="clear" w:color="auto" w:fill="auto"/>
            <w:vAlign w:val="center"/>
          </w:tcPr>
          <w:p w14:paraId="0F21FED7">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是否强制节能</w:t>
            </w:r>
          </w:p>
        </w:tc>
        <w:tc>
          <w:tcPr>
            <w:tcW w:w="0" w:type="auto"/>
            <w:shd w:val="clear" w:color="auto" w:fill="auto"/>
            <w:vAlign w:val="center"/>
          </w:tcPr>
          <w:p w14:paraId="263A2CDD">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是否核心产品</w:t>
            </w:r>
          </w:p>
        </w:tc>
        <w:tc>
          <w:tcPr>
            <w:tcW w:w="0" w:type="auto"/>
            <w:shd w:val="clear" w:color="auto" w:fill="auto"/>
            <w:vAlign w:val="center"/>
          </w:tcPr>
          <w:p w14:paraId="20D7DAF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是否接受进口</w:t>
            </w:r>
          </w:p>
        </w:tc>
        <w:tc>
          <w:tcPr>
            <w:tcW w:w="0" w:type="auto"/>
            <w:shd w:val="clear" w:color="auto" w:fill="auto"/>
            <w:vAlign w:val="center"/>
          </w:tcPr>
          <w:p w14:paraId="13F76CC1">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重要程度</w:t>
            </w:r>
          </w:p>
        </w:tc>
        <w:tc>
          <w:tcPr>
            <w:tcW w:w="0" w:type="auto"/>
            <w:shd w:val="clear" w:color="auto" w:fill="auto"/>
            <w:vAlign w:val="center"/>
          </w:tcPr>
          <w:p w14:paraId="1613DEBD">
            <w:pPr>
              <w:spacing w:line="240" w:lineRule="auto"/>
              <w:rPr>
                <w:rFonts w:hint="eastAsia" w:ascii="宋体" w:hAnsi="宋体" w:eastAsia="宋体" w:cs="宋体"/>
                <w:sz w:val="24"/>
                <w:szCs w:val="24"/>
              </w:rPr>
            </w:pPr>
            <w:r>
              <w:rPr>
                <w:rFonts w:hint="eastAsia" w:ascii="宋体" w:hAnsi="宋体" w:eastAsia="宋体" w:cs="宋体"/>
                <w:sz w:val="24"/>
                <w:szCs w:val="24"/>
                <w:lang w:bidi="ar"/>
              </w:rPr>
              <w:t>指标需求</w:t>
            </w:r>
          </w:p>
        </w:tc>
      </w:tr>
      <w:tr w14:paraId="0144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restart"/>
            <w:shd w:val="clear" w:color="auto" w:fill="auto"/>
            <w:noWrap/>
            <w:vAlign w:val="center"/>
          </w:tcPr>
          <w:p w14:paraId="34C0D0D7">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0" w:type="auto"/>
            <w:vMerge w:val="restart"/>
            <w:shd w:val="clear" w:color="auto" w:fill="auto"/>
            <w:vAlign w:val="center"/>
          </w:tcPr>
          <w:p w14:paraId="6418A61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人工智能大模型开发训练平台</w:t>
            </w:r>
          </w:p>
        </w:tc>
        <w:tc>
          <w:tcPr>
            <w:tcW w:w="0" w:type="auto"/>
            <w:vMerge w:val="restart"/>
            <w:shd w:val="clear" w:color="auto" w:fill="auto"/>
            <w:vAlign w:val="center"/>
          </w:tcPr>
          <w:p w14:paraId="20A7AB7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vMerge w:val="restart"/>
            <w:shd w:val="clear" w:color="auto" w:fill="auto"/>
            <w:vAlign w:val="center"/>
          </w:tcPr>
          <w:p w14:paraId="5B6A1DDE">
            <w:pPr>
              <w:pStyle w:val="19"/>
              <w:spacing w:line="24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0" w:type="auto"/>
            <w:vMerge w:val="restart"/>
            <w:shd w:val="clear" w:color="auto" w:fill="auto"/>
            <w:vAlign w:val="center"/>
          </w:tcPr>
          <w:p w14:paraId="1108B07B">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0" w:type="auto"/>
            <w:vMerge w:val="restart"/>
            <w:shd w:val="clear" w:color="auto" w:fill="auto"/>
            <w:noWrap/>
            <w:vAlign w:val="center"/>
          </w:tcPr>
          <w:p w14:paraId="1567289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0" w:type="auto"/>
            <w:vMerge w:val="restart"/>
            <w:shd w:val="clear" w:color="auto" w:fill="auto"/>
            <w:vAlign w:val="center"/>
          </w:tcPr>
          <w:p w14:paraId="318BF9E6">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0" w:type="auto"/>
            <w:shd w:val="clear" w:color="auto" w:fill="auto"/>
            <w:noWrap/>
            <w:vAlign w:val="center"/>
          </w:tcPr>
          <w:p w14:paraId="61FEC15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54D4B08">
            <w:pPr>
              <w:spacing w:line="240" w:lineRule="auto"/>
              <w:rPr>
                <w:rFonts w:hint="eastAsia" w:ascii="宋体" w:hAnsi="宋体" w:eastAsia="宋体" w:cs="宋体"/>
                <w:sz w:val="24"/>
                <w:szCs w:val="24"/>
              </w:rPr>
            </w:pPr>
            <w:r>
              <w:rPr>
                <w:rFonts w:hint="eastAsia" w:ascii="宋体" w:hAnsi="宋体" w:eastAsia="宋体" w:cs="宋体"/>
                <w:sz w:val="24"/>
                <w:szCs w:val="24"/>
              </w:rPr>
              <w:t>1、形态：机架式服务器，高度≤4U。</w:t>
            </w:r>
          </w:p>
        </w:tc>
      </w:tr>
      <w:tr w14:paraId="5CC6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2F6C05F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E2E8C6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ACE554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8AA69F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CAF4AFE">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4BDCE98F">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4F8F361">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D9DC7AD">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79020000">
            <w:pPr>
              <w:spacing w:line="240" w:lineRule="auto"/>
              <w:rPr>
                <w:rFonts w:hint="eastAsia" w:ascii="宋体" w:hAnsi="宋体" w:eastAsia="宋体" w:cs="宋体"/>
                <w:sz w:val="24"/>
                <w:szCs w:val="24"/>
                <w:lang w:bidi="ar"/>
              </w:rPr>
            </w:pPr>
            <w:r>
              <w:rPr>
                <w:rFonts w:hint="eastAsia" w:ascii="宋体" w:hAnsi="宋体" w:eastAsia="宋体" w:cs="宋体"/>
                <w:sz w:val="24"/>
                <w:szCs w:val="24"/>
              </w:rPr>
              <w:t>2、处理器：配置2颗非ARM架构处理器，单颗≥24个核心、≥48个线程，主频≥2.1GHz。</w:t>
            </w:r>
          </w:p>
        </w:tc>
      </w:tr>
      <w:tr w14:paraId="1AD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8E9C20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AC4E3E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E68D81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736876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1F64CB8">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0EA0CC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DFA0C22">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CB05143">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532A5A2B">
            <w:pPr>
              <w:spacing w:line="240" w:lineRule="auto"/>
              <w:rPr>
                <w:rFonts w:hint="eastAsia" w:ascii="宋体" w:hAnsi="宋体" w:eastAsia="宋体" w:cs="宋体"/>
                <w:sz w:val="24"/>
                <w:szCs w:val="24"/>
              </w:rPr>
            </w:pPr>
            <w:r>
              <w:rPr>
                <w:rFonts w:hint="eastAsia" w:ascii="宋体" w:hAnsi="宋体" w:eastAsia="宋体" w:cs="宋体"/>
                <w:sz w:val="24"/>
                <w:szCs w:val="24"/>
              </w:rPr>
              <w:t>3、内存：配置不低于1024GB 3200MHz DDR4内存。</w:t>
            </w:r>
          </w:p>
        </w:tc>
      </w:tr>
      <w:tr w14:paraId="5164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0850E2E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21C59D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4AF0B8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A5A415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38A6846">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FCF16F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6B05A18">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67D212F">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196EF972">
            <w:pPr>
              <w:spacing w:line="240" w:lineRule="auto"/>
              <w:rPr>
                <w:rFonts w:hint="eastAsia" w:ascii="宋体" w:hAnsi="宋体" w:eastAsia="宋体" w:cs="宋体"/>
                <w:sz w:val="24"/>
                <w:szCs w:val="24"/>
                <w:lang w:bidi="ar"/>
              </w:rPr>
            </w:pPr>
            <w:r>
              <w:rPr>
                <w:rFonts w:hint="eastAsia" w:ascii="宋体" w:hAnsi="宋体" w:eastAsia="宋体" w:cs="宋体"/>
                <w:sz w:val="24"/>
                <w:szCs w:val="24"/>
              </w:rPr>
              <w:t>4、硬盘：配置≥2块960G SSD硬盘，≥4块7.68TB NVMe。</w:t>
            </w:r>
          </w:p>
        </w:tc>
      </w:tr>
      <w:tr w14:paraId="319F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0CA1914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D4ED4D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4480E9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B65034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D3AE89A">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7FA057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DB0251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298C6137">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097A3DBF">
            <w:pPr>
              <w:spacing w:line="240" w:lineRule="auto"/>
              <w:rPr>
                <w:rFonts w:hint="eastAsia" w:ascii="宋体" w:hAnsi="宋体" w:eastAsia="宋体" w:cs="宋体"/>
                <w:sz w:val="24"/>
                <w:szCs w:val="24"/>
                <w:lang w:bidi="ar"/>
              </w:rPr>
            </w:pPr>
            <w:r>
              <w:rPr>
                <w:rFonts w:hint="eastAsia" w:ascii="宋体" w:hAnsi="宋体" w:eastAsia="宋体" w:cs="宋体"/>
                <w:sz w:val="24"/>
                <w:szCs w:val="24"/>
              </w:rPr>
              <w:t>5、RAID支持：配置≥2G缓存独立raid卡，支持RAID 0, 1, 5, 6, 10, 50, 60</w:t>
            </w:r>
            <w:bookmarkStart w:id="0" w:name="OLE_LINK1"/>
            <w:bookmarkStart w:id="1" w:name="OLE_LINK2"/>
            <w:r>
              <w:rPr>
                <w:rFonts w:hint="eastAsia" w:ascii="宋体" w:hAnsi="宋体" w:eastAsia="宋体" w:cs="宋体"/>
                <w:sz w:val="24"/>
                <w:szCs w:val="24"/>
              </w:rPr>
              <w:t>。</w:t>
            </w:r>
            <w:bookmarkEnd w:id="0"/>
            <w:bookmarkEnd w:id="1"/>
          </w:p>
        </w:tc>
      </w:tr>
      <w:tr w14:paraId="3898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D76C96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11A753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F10EE7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79A343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1D2C12E">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1D49E45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6C8D2C4">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14A6CCA">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w:t>
            </w:r>
          </w:p>
        </w:tc>
        <w:tc>
          <w:tcPr>
            <w:tcW w:w="0" w:type="auto"/>
            <w:shd w:val="clear" w:color="auto" w:fill="auto"/>
            <w:vAlign w:val="center"/>
          </w:tcPr>
          <w:p w14:paraId="2F3C5514">
            <w:pPr>
              <w:spacing w:line="240" w:lineRule="auto"/>
              <w:rPr>
                <w:rFonts w:hint="eastAsia" w:ascii="宋体" w:hAnsi="宋体" w:eastAsia="宋体" w:cs="宋体"/>
                <w:sz w:val="24"/>
                <w:szCs w:val="24"/>
              </w:rPr>
            </w:pPr>
            <w:r>
              <w:rPr>
                <w:rFonts w:hint="eastAsia" w:ascii="宋体" w:hAnsi="宋体" w:eastAsia="宋体" w:cs="宋体"/>
                <w:sz w:val="24"/>
                <w:szCs w:val="24"/>
              </w:rPr>
              <w:t>6、GPU：配置≥8块CUDA生态GPU加速卡，单卡提供≥48G显存、FP32算力≥58TFLOPS，FP8算力≥230 TFLOPS，显存带宽≥850GB/s。</w:t>
            </w:r>
          </w:p>
        </w:tc>
      </w:tr>
      <w:tr w14:paraId="3357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53FED8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08944E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D25A72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88ACE2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013641E">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72F4A45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E51AED1">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EAC628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14:paraId="064C2C96">
            <w:pPr>
              <w:spacing w:line="240" w:lineRule="auto"/>
              <w:rPr>
                <w:rFonts w:hint="eastAsia" w:ascii="宋体" w:hAnsi="宋体" w:eastAsia="宋体" w:cs="宋体"/>
                <w:sz w:val="24"/>
                <w:szCs w:val="24"/>
              </w:rPr>
            </w:pPr>
            <w:r>
              <w:rPr>
                <w:rFonts w:hint="eastAsia" w:ascii="宋体" w:hAnsi="宋体" w:eastAsia="宋体" w:cs="宋体"/>
                <w:sz w:val="24"/>
                <w:szCs w:val="24"/>
              </w:rPr>
              <w:t>7、GPU拓扑：支持在不同场景下CPU-GPU间连接拓扑切换。</w:t>
            </w:r>
          </w:p>
        </w:tc>
      </w:tr>
      <w:tr w14:paraId="6CEF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58A569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728DB1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569BAF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436D67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6CDB426">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0C84DC6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0079FD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F8C3887">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61614DB6">
            <w:pPr>
              <w:spacing w:line="240" w:lineRule="auto"/>
              <w:rPr>
                <w:rFonts w:hint="eastAsia" w:ascii="宋体" w:hAnsi="宋体" w:eastAsia="宋体" w:cs="宋体"/>
                <w:sz w:val="24"/>
                <w:szCs w:val="24"/>
                <w:lang w:bidi="ar"/>
              </w:rPr>
            </w:pPr>
            <w:r>
              <w:rPr>
                <w:rFonts w:hint="eastAsia" w:ascii="宋体" w:hAnsi="宋体" w:eastAsia="宋体" w:cs="宋体"/>
                <w:sz w:val="24"/>
                <w:szCs w:val="24"/>
              </w:rPr>
              <w:t>8、网络：配置≥2个10G网络端口（含光模块），≥2个千兆网口。</w:t>
            </w:r>
          </w:p>
        </w:tc>
      </w:tr>
      <w:tr w14:paraId="66BB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2CE7D1C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46897B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B92079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C396B0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1CC5A45">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17AFB14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A31C592">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72754069">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w:t>
            </w:r>
          </w:p>
        </w:tc>
        <w:tc>
          <w:tcPr>
            <w:tcW w:w="0" w:type="auto"/>
            <w:shd w:val="clear" w:color="auto" w:fill="auto"/>
            <w:vAlign w:val="center"/>
          </w:tcPr>
          <w:p w14:paraId="1734FC33">
            <w:pPr>
              <w:spacing w:line="240" w:lineRule="auto"/>
              <w:rPr>
                <w:rFonts w:hint="eastAsia" w:ascii="宋体" w:hAnsi="宋体" w:eastAsia="宋体" w:cs="宋体"/>
                <w:sz w:val="24"/>
                <w:szCs w:val="24"/>
                <w:lang w:bidi="ar"/>
              </w:rPr>
            </w:pPr>
            <w:r>
              <w:rPr>
                <w:rFonts w:hint="eastAsia" w:ascii="宋体" w:hAnsi="宋体" w:eastAsia="宋体" w:cs="宋体"/>
                <w:sz w:val="24"/>
                <w:szCs w:val="24"/>
              </w:rPr>
              <w:t>9、PCIe扩展：配置8个GPU后仍支持≥4个PCIe槽位。</w:t>
            </w:r>
          </w:p>
        </w:tc>
      </w:tr>
      <w:tr w14:paraId="2EF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3996FD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0647AD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9C8C3D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60D40F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581BF89">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D9DBE0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78F71B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50AB121">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763A208B">
            <w:pPr>
              <w:spacing w:line="240" w:lineRule="auto"/>
              <w:rPr>
                <w:rFonts w:hint="eastAsia" w:ascii="宋体" w:hAnsi="宋体" w:eastAsia="宋体" w:cs="宋体"/>
                <w:sz w:val="24"/>
                <w:szCs w:val="24"/>
                <w:lang w:bidi="ar"/>
              </w:rPr>
            </w:pPr>
            <w:r>
              <w:rPr>
                <w:rFonts w:hint="eastAsia" w:ascii="宋体" w:hAnsi="宋体" w:eastAsia="宋体" w:cs="宋体"/>
                <w:sz w:val="24"/>
                <w:szCs w:val="24"/>
              </w:rPr>
              <w:t>10、管理功能：提供服务器统一管理功能，实现不同品牌、不同平台的服务器统一管理，监控告警、性能分析、批量配置更新、OS部署等功能。</w:t>
            </w:r>
          </w:p>
        </w:tc>
      </w:tr>
      <w:tr w14:paraId="21C3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6472A2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3287C7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33CF0A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3E9DCD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DC9DC3B">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4128FC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722EF61">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42464284">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1C729979">
            <w:pPr>
              <w:spacing w:line="240" w:lineRule="auto"/>
              <w:rPr>
                <w:rFonts w:hint="eastAsia" w:ascii="宋体" w:hAnsi="宋体" w:eastAsia="宋体" w:cs="宋体"/>
                <w:sz w:val="24"/>
                <w:szCs w:val="24"/>
              </w:rPr>
            </w:pPr>
            <w:r>
              <w:rPr>
                <w:rFonts w:hint="eastAsia" w:ascii="宋体" w:hAnsi="宋体" w:eastAsia="宋体" w:cs="宋体"/>
                <w:sz w:val="24"/>
                <w:szCs w:val="24"/>
              </w:rPr>
              <w:t>11、模型微调功能</w:t>
            </w:r>
          </w:p>
          <w:p w14:paraId="7376706D">
            <w:pPr>
              <w:spacing w:line="240" w:lineRule="auto"/>
              <w:rPr>
                <w:rFonts w:hint="eastAsia" w:ascii="宋体" w:hAnsi="宋体" w:eastAsia="宋体" w:cs="宋体"/>
                <w:sz w:val="24"/>
                <w:szCs w:val="24"/>
                <w:lang w:bidi="ar"/>
              </w:rPr>
            </w:pPr>
            <w:r>
              <w:rPr>
                <w:rFonts w:hint="eastAsia" w:ascii="宋体" w:hAnsi="宋体" w:eastAsia="宋体" w:cs="宋体"/>
                <w:sz w:val="24"/>
                <w:szCs w:val="24"/>
              </w:rPr>
              <w:t>11.1.图形化界面：支持大模型微调，提供SFT任务的图形化界面；支持开源大模型包括DeepSeek、GLM、Qwen、Baichuan、Llama、YI等。</w:t>
            </w:r>
          </w:p>
        </w:tc>
      </w:tr>
      <w:tr w14:paraId="311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7434286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FFFD7B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503FDC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52B4A6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8D32BF6">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84A599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75B5B1C">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6C2FA91">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11136BC3">
            <w:pPr>
              <w:spacing w:line="240" w:lineRule="auto"/>
              <w:rPr>
                <w:rFonts w:hint="eastAsia" w:ascii="宋体" w:hAnsi="宋体" w:eastAsia="宋体" w:cs="宋体"/>
                <w:sz w:val="24"/>
                <w:szCs w:val="24"/>
                <w:lang w:bidi="ar"/>
              </w:rPr>
            </w:pPr>
            <w:r>
              <w:rPr>
                <w:rFonts w:hint="eastAsia" w:ascii="宋体" w:hAnsi="宋体" w:eastAsia="宋体" w:cs="宋体"/>
                <w:sz w:val="24"/>
                <w:szCs w:val="24"/>
              </w:rPr>
              <w:t>11.2.参数在线配置：支持在线配置微调参数，包括训练轮数、batchsize、学习率、加速方式；支持配置参数，包括梯度累积、学习率调节器、验证集比例、优化器等。</w:t>
            </w:r>
          </w:p>
        </w:tc>
      </w:tr>
      <w:tr w14:paraId="75D9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87C72D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94F4A5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1E5004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94918A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443D5F3">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9739ADA">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308734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63BAC69">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3A51F968">
            <w:pPr>
              <w:spacing w:line="240" w:lineRule="auto"/>
              <w:rPr>
                <w:rFonts w:hint="eastAsia" w:ascii="宋体" w:hAnsi="宋体" w:eastAsia="宋体" w:cs="宋体"/>
                <w:sz w:val="24"/>
                <w:szCs w:val="24"/>
                <w:lang w:bidi="ar"/>
              </w:rPr>
            </w:pPr>
            <w:r>
              <w:rPr>
                <w:rFonts w:hint="eastAsia" w:ascii="宋体" w:hAnsi="宋体" w:eastAsia="宋体" w:cs="宋体"/>
                <w:sz w:val="24"/>
                <w:szCs w:val="24"/>
              </w:rPr>
              <w:t>11.3.断点续训：支持自动从上一次任务基础上继续训练的能力。</w:t>
            </w:r>
          </w:p>
        </w:tc>
      </w:tr>
      <w:tr w14:paraId="0FF1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4580B9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0C1B31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200504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1145BE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515B2E7">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C7CEFD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00912D7">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724A637">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240932DF">
            <w:pPr>
              <w:spacing w:line="240" w:lineRule="auto"/>
              <w:rPr>
                <w:rFonts w:hint="eastAsia" w:ascii="宋体" w:hAnsi="宋体" w:eastAsia="宋体" w:cs="宋体"/>
                <w:sz w:val="24"/>
                <w:szCs w:val="24"/>
              </w:rPr>
            </w:pPr>
            <w:r>
              <w:rPr>
                <w:rFonts w:hint="eastAsia" w:ascii="宋体" w:hAnsi="宋体" w:eastAsia="宋体" w:cs="宋体"/>
                <w:sz w:val="24"/>
                <w:szCs w:val="24"/>
              </w:rPr>
              <w:t>11.4.模型评估：支持自动模型评估。</w:t>
            </w:r>
          </w:p>
        </w:tc>
      </w:tr>
      <w:tr w14:paraId="1C8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806431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3493ED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BFBDA3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7EFB80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27430BA">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E7E01E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31C96F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AD898F0">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026FF7CC">
            <w:pPr>
              <w:spacing w:line="240" w:lineRule="auto"/>
              <w:rPr>
                <w:rFonts w:hint="eastAsia" w:ascii="宋体" w:hAnsi="宋体" w:eastAsia="宋体" w:cs="宋体"/>
                <w:sz w:val="24"/>
                <w:szCs w:val="24"/>
              </w:rPr>
            </w:pPr>
            <w:r>
              <w:rPr>
                <w:rFonts w:hint="eastAsia" w:ascii="宋体" w:hAnsi="宋体" w:eastAsia="宋体" w:cs="宋体"/>
                <w:sz w:val="24"/>
                <w:szCs w:val="24"/>
              </w:rPr>
              <w:t>11.5.模型仓库：支持平台本身模型和第三方大模型的导入、发布、导出等统一管理；支持模型发布，可以生成服务配置。</w:t>
            </w:r>
          </w:p>
        </w:tc>
      </w:tr>
      <w:tr w14:paraId="145F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26BAB8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79FE91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CBE77D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208547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49C24A8">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4536FDF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9B9379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197177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1C6C0820">
            <w:pPr>
              <w:spacing w:line="240" w:lineRule="auto"/>
              <w:rPr>
                <w:rFonts w:hint="eastAsia" w:ascii="宋体" w:hAnsi="宋体" w:eastAsia="宋体" w:cs="宋体"/>
                <w:sz w:val="24"/>
                <w:szCs w:val="24"/>
              </w:rPr>
            </w:pPr>
            <w:r>
              <w:rPr>
                <w:rFonts w:hint="eastAsia" w:ascii="宋体" w:hAnsi="宋体" w:eastAsia="宋体" w:cs="宋体"/>
                <w:sz w:val="24"/>
                <w:szCs w:val="24"/>
              </w:rPr>
              <w:t>12、服务部署功能</w:t>
            </w:r>
          </w:p>
          <w:p w14:paraId="77806992">
            <w:pPr>
              <w:spacing w:line="240" w:lineRule="auto"/>
              <w:rPr>
                <w:rFonts w:hint="eastAsia" w:ascii="宋体" w:hAnsi="宋体" w:eastAsia="宋体" w:cs="宋体"/>
                <w:sz w:val="24"/>
                <w:szCs w:val="24"/>
              </w:rPr>
            </w:pPr>
            <w:r>
              <w:rPr>
                <w:rFonts w:hint="eastAsia" w:ascii="宋体" w:hAnsi="宋体" w:eastAsia="宋体" w:cs="宋体"/>
                <w:sz w:val="24"/>
                <w:szCs w:val="24"/>
              </w:rPr>
              <w:t>12.1.部署方式：提供模型部署和镜像部署两种方式。</w:t>
            </w:r>
          </w:p>
        </w:tc>
      </w:tr>
      <w:tr w14:paraId="41F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CF694F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ABCB3D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44B6A0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C30BB7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4936013">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4D98F1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9527B0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C46C56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2102F61">
            <w:pPr>
              <w:spacing w:line="240" w:lineRule="auto"/>
              <w:rPr>
                <w:rFonts w:hint="eastAsia" w:ascii="宋体" w:hAnsi="宋体" w:eastAsia="宋体" w:cs="宋体"/>
                <w:sz w:val="24"/>
                <w:szCs w:val="24"/>
              </w:rPr>
            </w:pPr>
            <w:r>
              <w:rPr>
                <w:rFonts w:hint="eastAsia" w:ascii="宋体" w:hAnsi="宋体" w:eastAsia="宋体" w:cs="宋体"/>
                <w:sz w:val="24"/>
                <w:szCs w:val="24"/>
              </w:rPr>
              <w:t>12.2.服务监控：支持CPU利用率、内存使用率、内存已用、内存总量、部署网络传输速度、部署网络接收速率、请求数、请求成功率、请求延迟等服务的监控。</w:t>
            </w:r>
          </w:p>
        </w:tc>
      </w:tr>
      <w:tr w14:paraId="57D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221D887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20A0C3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684380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9675E4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D97D667">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50911C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7FAAE8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706E26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7E27CC46">
            <w:pPr>
              <w:spacing w:line="240" w:lineRule="auto"/>
              <w:rPr>
                <w:rFonts w:hint="eastAsia" w:ascii="宋体" w:hAnsi="宋体" w:eastAsia="宋体" w:cs="宋体"/>
                <w:sz w:val="24"/>
                <w:szCs w:val="24"/>
              </w:rPr>
            </w:pPr>
            <w:r>
              <w:rPr>
                <w:rFonts w:hint="eastAsia" w:ascii="宋体" w:hAnsi="宋体" w:eastAsia="宋体" w:cs="宋体"/>
                <w:sz w:val="24"/>
                <w:szCs w:val="24"/>
              </w:rPr>
              <w:t>12.3.弹性缩扩容：支持服务可基于实时并发请求数或者CPU自动触发服务实例扩缩容。</w:t>
            </w:r>
          </w:p>
        </w:tc>
      </w:tr>
      <w:tr w14:paraId="343F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0D4BC1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C40532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AC41EF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0E400D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600B9D4">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4E5DAA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102DE77">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61D36E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19CEF955">
            <w:pPr>
              <w:spacing w:line="240" w:lineRule="auto"/>
              <w:rPr>
                <w:rFonts w:hint="eastAsia" w:ascii="宋体" w:hAnsi="宋体" w:eastAsia="宋体" w:cs="宋体"/>
                <w:sz w:val="24"/>
                <w:szCs w:val="24"/>
              </w:rPr>
            </w:pPr>
            <w:r>
              <w:rPr>
                <w:rFonts w:hint="eastAsia" w:ascii="宋体" w:hAnsi="宋体" w:eastAsia="宋体" w:cs="宋体"/>
                <w:sz w:val="24"/>
                <w:szCs w:val="24"/>
              </w:rPr>
              <w:t>12.4.服务测试：支持服务的在线测试、服务评估和周期性服务部署。</w:t>
            </w:r>
          </w:p>
        </w:tc>
      </w:tr>
      <w:tr w14:paraId="5D9A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3E9B33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78DF6B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C3D9B5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27E78C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8EB7E06">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1D4E73F7">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5C37EA7">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7DEC82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58B140D4">
            <w:pPr>
              <w:spacing w:line="240" w:lineRule="auto"/>
              <w:rPr>
                <w:rFonts w:hint="eastAsia" w:ascii="宋体" w:hAnsi="宋体" w:eastAsia="宋体" w:cs="宋体"/>
                <w:sz w:val="24"/>
                <w:szCs w:val="24"/>
              </w:rPr>
            </w:pPr>
            <w:r>
              <w:rPr>
                <w:rFonts w:hint="eastAsia" w:ascii="宋体" w:hAnsi="宋体" w:eastAsia="宋体" w:cs="宋体"/>
                <w:sz w:val="24"/>
                <w:szCs w:val="24"/>
              </w:rPr>
              <w:t>13、应用开发功能</w:t>
            </w:r>
          </w:p>
          <w:p w14:paraId="2310FBDB">
            <w:pPr>
              <w:spacing w:line="240" w:lineRule="auto"/>
              <w:rPr>
                <w:rFonts w:hint="eastAsia" w:ascii="宋体" w:hAnsi="宋体" w:eastAsia="宋体" w:cs="宋体"/>
                <w:sz w:val="24"/>
                <w:szCs w:val="24"/>
              </w:rPr>
            </w:pPr>
            <w:r>
              <w:rPr>
                <w:rFonts w:hint="eastAsia" w:ascii="宋体" w:hAnsi="宋体" w:eastAsia="宋体" w:cs="宋体"/>
                <w:sz w:val="24"/>
                <w:szCs w:val="24"/>
              </w:rPr>
              <w:t>13.1.知识检索：支持知识库创建、编辑和删除；支持多种格式的知识库文档上传和解析；支持检索类型、引用数量、关键词相似度权重、混合相似度权重等配置检索策略；支持配置Prompt模板。</w:t>
            </w:r>
          </w:p>
        </w:tc>
      </w:tr>
      <w:tr w14:paraId="5CC0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372498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27AEC5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0C9F04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E143E8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9B03769">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84A739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B4217E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019C499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63C02109">
            <w:pPr>
              <w:spacing w:line="240" w:lineRule="auto"/>
              <w:rPr>
                <w:rFonts w:hint="eastAsia" w:ascii="宋体" w:hAnsi="宋体" w:eastAsia="宋体" w:cs="宋体"/>
                <w:sz w:val="24"/>
                <w:szCs w:val="24"/>
              </w:rPr>
            </w:pPr>
            <w:r>
              <w:rPr>
                <w:rFonts w:hint="eastAsia" w:ascii="宋体" w:hAnsi="宋体" w:eastAsia="宋体" w:cs="宋体"/>
                <w:sz w:val="24"/>
                <w:szCs w:val="24"/>
              </w:rPr>
              <w:t>13.2.插件管理：支持敏感词检测、知识库检索、网络检索、文档阅读插件。</w:t>
            </w:r>
          </w:p>
        </w:tc>
      </w:tr>
      <w:tr w14:paraId="79F1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78ED67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DC5808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CE0557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53CA13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2005CD2">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2F5A87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54D0F0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7846BE6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4D02A7F1">
            <w:pPr>
              <w:spacing w:line="240" w:lineRule="auto"/>
              <w:rPr>
                <w:rFonts w:hint="eastAsia" w:ascii="宋体" w:hAnsi="宋体" w:eastAsia="宋体" w:cs="宋体"/>
                <w:sz w:val="24"/>
                <w:szCs w:val="24"/>
              </w:rPr>
            </w:pPr>
            <w:r>
              <w:rPr>
                <w:rFonts w:hint="eastAsia" w:ascii="宋体" w:hAnsi="宋体" w:eastAsia="宋体" w:cs="宋体"/>
                <w:sz w:val="24"/>
                <w:szCs w:val="24"/>
              </w:rPr>
              <w:t>13.3.支持在线提供对话应用。</w:t>
            </w:r>
          </w:p>
        </w:tc>
      </w:tr>
      <w:tr w14:paraId="66C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7039B9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074970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3D35AC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E4DB5B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64032C0">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07E7B55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F255A72">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70BA0F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542A8CCD">
            <w:pPr>
              <w:spacing w:line="240" w:lineRule="auto"/>
              <w:rPr>
                <w:rFonts w:hint="eastAsia" w:ascii="宋体" w:hAnsi="宋体" w:eastAsia="宋体" w:cs="宋体"/>
                <w:sz w:val="24"/>
                <w:szCs w:val="24"/>
              </w:rPr>
            </w:pPr>
            <w:r>
              <w:rPr>
                <w:rFonts w:hint="eastAsia" w:ascii="宋体" w:hAnsi="宋体" w:eastAsia="宋体" w:cs="宋体"/>
                <w:sz w:val="24"/>
                <w:szCs w:val="24"/>
              </w:rPr>
              <w:t>14、系统管理功能</w:t>
            </w:r>
          </w:p>
          <w:p w14:paraId="7F687E58">
            <w:pPr>
              <w:spacing w:line="240" w:lineRule="auto"/>
              <w:rPr>
                <w:rFonts w:hint="eastAsia" w:ascii="宋体" w:hAnsi="宋体" w:eastAsia="宋体" w:cs="宋体"/>
                <w:sz w:val="24"/>
                <w:szCs w:val="24"/>
              </w:rPr>
            </w:pPr>
            <w:r>
              <w:rPr>
                <w:rFonts w:hint="eastAsia" w:ascii="宋体" w:hAnsi="宋体" w:eastAsia="宋体" w:cs="宋体"/>
                <w:sz w:val="24"/>
                <w:szCs w:val="24"/>
              </w:rPr>
              <w:t>14.1.租户管理：支持业务模块的使用权限控制，支持用户的资源配额设置，支持用户的批量管理。</w:t>
            </w:r>
          </w:p>
        </w:tc>
      </w:tr>
      <w:tr w14:paraId="57B5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04D0BE4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720EE8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56C96F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1E8C30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98F6F1C">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EA6778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343BD7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28C89F7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339AE0F7">
            <w:pPr>
              <w:spacing w:line="240" w:lineRule="auto"/>
              <w:rPr>
                <w:rFonts w:hint="eastAsia" w:ascii="宋体" w:hAnsi="宋体" w:eastAsia="宋体" w:cs="宋体"/>
                <w:sz w:val="24"/>
                <w:szCs w:val="24"/>
              </w:rPr>
            </w:pPr>
            <w:r>
              <w:rPr>
                <w:rFonts w:hint="eastAsia" w:ascii="宋体" w:hAnsi="宋体" w:eastAsia="宋体" w:cs="宋体"/>
                <w:sz w:val="24"/>
                <w:szCs w:val="24"/>
              </w:rPr>
              <w:t>14.2.资源组管理：支持设置资源的共享、专享策略。</w:t>
            </w:r>
          </w:p>
        </w:tc>
      </w:tr>
      <w:tr w14:paraId="1CAC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CD1953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F55320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26DC78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88B954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DEA9078">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0AB536F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50A86B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FDFAE7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2333FE38">
            <w:pPr>
              <w:spacing w:line="240" w:lineRule="auto"/>
              <w:rPr>
                <w:rFonts w:hint="eastAsia" w:ascii="宋体" w:hAnsi="宋体" w:eastAsia="宋体" w:cs="宋体"/>
                <w:sz w:val="24"/>
                <w:szCs w:val="24"/>
              </w:rPr>
            </w:pPr>
            <w:r>
              <w:rPr>
                <w:rFonts w:hint="eastAsia" w:ascii="宋体" w:hAnsi="宋体" w:eastAsia="宋体" w:cs="宋体"/>
                <w:sz w:val="24"/>
                <w:szCs w:val="24"/>
              </w:rPr>
              <w:t>14.3.集群监控：提供多层级监控信息查看，提供GPU、CPU、内存、IB/RoCE网络、存储等关键设施的性能曲线、图表展示。</w:t>
            </w:r>
          </w:p>
        </w:tc>
      </w:tr>
      <w:tr w14:paraId="00B9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C7848E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D90843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C2D908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B0E03E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3B96B20">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1B4F5DC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ECE5DA2">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DEAF9B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1A7B214D">
            <w:pPr>
              <w:spacing w:line="240" w:lineRule="auto"/>
              <w:rPr>
                <w:rFonts w:hint="eastAsia" w:ascii="宋体" w:hAnsi="宋体" w:eastAsia="宋体" w:cs="宋体"/>
                <w:sz w:val="24"/>
                <w:szCs w:val="24"/>
              </w:rPr>
            </w:pPr>
            <w:r>
              <w:rPr>
                <w:rFonts w:hint="eastAsia" w:ascii="宋体" w:hAnsi="宋体" w:eastAsia="宋体" w:cs="宋体"/>
                <w:sz w:val="24"/>
                <w:szCs w:val="24"/>
              </w:rPr>
              <w:t>14.4.告警：支持节点CPU、内存、网络、磁盘、加速卡健康状态及性能情况的报警设置。</w:t>
            </w:r>
          </w:p>
        </w:tc>
      </w:tr>
      <w:tr w14:paraId="1362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D041F7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237582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03E435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FA917C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502E5BE">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B3494C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B3D29B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2476B9A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79BE44D0">
            <w:pPr>
              <w:spacing w:line="240" w:lineRule="auto"/>
              <w:rPr>
                <w:rFonts w:hint="eastAsia" w:ascii="宋体" w:hAnsi="宋体" w:eastAsia="宋体" w:cs="宋体"/>
                <w:sz w:val="24"/>
                <w:szCs w:val="24"/>
              </w:rPr>
            </w:pPr>
            <w:r>
              <w:rPr>
                <w:rFonts w:hint="eastAsia" w:ascii="宋体" w:hAnsi="宋体" w:eastAsia="宋体" w:cs="宋体"/>
                <w:sz w:val="24"/>
                <w:szCs w:val="24"/>
              </w:rPr>
              <w:t>15、满配冗余电源模块和风扇模组，配置导轨。</w:t>
            </w:r>
          </w:p>
        </w:tc>
      </w:tr>
      <w:tr w14:paraId="347D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restart"/>
            <w:shd w:val="clear" w:color="auto" w:fill="auto"/>
            <w:noWrap/>
            <w:vAlign w:val="center"/>
          </w:tcPr>
          <w:p w14:paraId="5393CF7F">
            <w:pPr>
              <w:spacing w:line="240" w:lineRule="auto"/>
              <w:jc w:val="center"/>
              <w:rPr>
                <w:rFonts w:hint="eastAsia" w:ascii="宋体" w:hAnsi="宋体" w:eastAsia="宋体" w:cs="宋体"/>
                <w:sz w:val="24"/>
                <w:szCs w:val="24"/>
                <w:lang w:bidi="ar"/>
              </w:rPr>
            </w:pPr>
          </w:p>
        </w:tc>
        <w:tc>
          <w:tcPr>
            <w:tcW w:w="0" w:type="auto"/>
            <w:vMerge w:val="restart"/>
            <w:shd w:val="clear" w:color="auto" w:fill="auto"/>
            <w:vAlign w:val="center"/>
          </w:tcPr>
          <w:p w14:paraId="688C2BAD">
            <w:pPr>
              <w:spacing w:line="240" w:lineRule="auto"/>
              <w:jc w:val="center"/>
              <w:rPr>
                <w:rFonts w:hint="eastAsia" w:ascii="宋体" w:hAnsi="宋体" w:eastAsia="宋体" w:cs="宋体"/>
                <w:sz w:val="24"/>
                <w:szCs w:val="24"/>
                <w:lang w:bidi="ar"/>
              </w:rPr>
            </w:pPr>
          </w:p>
        </w:tc>
        <w:tc>
          <w:tcPr>
            <w:tcW w:w="0" w:type="auto"/>
            <w:vMerge w:val="restart"/>
            <w:shd w:val="clear" w:color="auto" w:fill="auto"/>
            <w:vAlign w:val="center"/>
          </w:tcPr>
          <w:p w14:paraId="6474854E">
            <w:pPr>
              <w:spacing w:line="240" w:lineRule="auto"/>
              <w:jc w:val="center"/>
              <w:rPr>
                <w:rFonts w:hint="eastAsia" w:ascii="宋体" w:hAnsi="宋体" w:eastAsia="宋体" w:cs="宋体"/>
                <w:sz w:val="24"/>
                <w:szCs w:val="24"/>
                <w:lang w:bidi="ar"/>
              </w:rPr>
            </w:pPr>
          </w:p>
        </w:tc>
        <w:tc>
          <w:tcPr>
            <w:tcW w:w="0" w:type="auto"/>
            <w:vMerge w:val="restart"/>
            <w:shd w:val="clear" w:color="auto" w:fill="auto"/>
            <w:vAlign w:val="center"/>
          </w:tcPr>
          <w:p w14:paraId="652AEC08">
            <w:pPr>
              <w:spacing w:line="240" w:lineRule="auto"/>
              <w:jc w:val="center"/>
              <w:rPr>
                <w:rFonts w:hint="eastAsia" w:ascii="宋体" w:hAnsi="宋体" w:eastAsia="宋体" w:cs="宋体"/>
                <w:sz w:val="24"/>
                <w:szCs w:val="24"/>
                <w:lang w:bidi="ar"/>
              </w:rPr>
            </w:pPr>
          </w:p>
        </w:tc>
        <w:tc>
          <w:tcPr>
            <w:tcW w:w="0" w:type="auto"/>
            <w:vMerge w:val="restart"/>
            <w:shd w:val="clear" w:color="auto" w:fill="auto"/>
            <w:vAlign w:val="center"/>
          </w:tcPr>
          <w:p w14:paraId="3AADE1EC">
            <w:pPr>
              <w:spacing w:line="240" w:lineRule="auto"/>
              <w:jc w:val="center"/>
              <w:rPr>
                <w:rFonts w:hint="eastAsia" w:ascii="宋体" w:hAnsi="宋体" w:eastAsia="宋体" w:cs="宋体"/>
                <w:sz w:val="24"/>
                <w:szCs w:val="24"/>
                <w:lang w:bidi="ar"/>
              </w:rPr>
            </w:pPr>
          </w:p>
        </w:tc>
        <w:tc>
          <w:tcPr>
            <w:tcW w:w="0" w:type="auto"/>
            <w:vMerge w:val="restart"/>
            <w:shd w:val="clear" w:color="auto" w:fill="auto"/>
            <w:noWrap/>
            <w:vAlign w:val="center"/>
          </w:tcPr>
          <w:p w14:paraId="3BC0ED9B">
            <w:pPr>
              <w:spacing w:line="240" w:lineRule="auto"/>
              <w:jc w:val="center"/>
              <w:rPr>
                <w:rFonts w:hint="eastAsia" w:ascii="宋体" w:hAnsi="宋体" w:eastAsia="宋体" w:cs="宋体"/>
                <w:sz w:val="24"/>
                <w:szCs w:val="24"/>
              </w:rPr>
            </w:pPr>
          </w:p>
        </w:tc>
        <w:tc>
          <w:tcPr>
            <w:tcW w:w="0" w:type="auto"/>
            <w:vMerge w:val="restart"/>
            <w:shd w:val="clear" w:color="auto" w:fill="auto"/>
            <w:vAlign w:val="center"/>
          </w:tcPr>
          <w:p w14:paraId="73682919">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7DFDA37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674B79E">
            <w:pPr>
              <w:spacing w:line="240" w:lineRule="auto"/>
              <w:rPr>
                <w:rFonts w:hint="eastAsia" w:ascii="宋体" w:hAnsi="宋体" w:eastAsia="宋体" w:cs="宋体"/>
                <w:sz w:val="24"/>
                <w:szCs w:val="24"/>
              </w:rPr>
            </w:pPr>
            <w:r>
              <w:rPr>
                <w:rFonts w:hint="eastAsia" w:ascii="宋体" w:hAnsi="宋体" w:eastAsia="宋体" w:cs="宋体"/>
                <w:sz w:val="24"/>
                <w:szCs w:val="24"/>
              </w:rPr>
              <w:t>16、支持用户对预置的大语言模型进行开发、训练和微调。</w:t>
            </w:r>
          </w:p>
          <w:p w14:paraId="46B4E278">
            <w:pPr>
              <w:spacing w:line="240" w:lineRule="auto"/>
              <w:rPr>
                <w:rFonts w:hint="eastAsia" w:ascii="宋体" w:hAnsi="宋体" w:eastAsia="宋体" w:cs="宋体"/>
                <w:sz w:val="24"/>
                <w:szCs w:val="24"/>
              </w:rPr>
            </w:pPr>
            <w:r>
              <w:rPr>
                <w:rFonts w:hint="eastAsia" w:ascii="宋体" w:hAnsi="宋体" w:eastAsia="宋体" w:cs="宋体"/>
                <w:sz w:val="24"/>
                <w:szCs w:val="24"/>
              </w:rPr>
              <w:t>•提供Jupyter、Webshell等在线开发环境，支持对接第三方开发工具（如VSCode，PyCharm）；支持0.x张卡(GPU显存隔离/MIG)、单卡/多卡，单机/多机等不同算力环境创建。</w:t>
            </w:r>
          </w:p>
          <w:p w14:paraId="2460E6AB">
            <w:pPr>
              <w:spacing w:line="240" w:lineRule="auto"/>
              <w:rPr>
                <w:rFonts w:hint="eastAsia" w:ascii="宋体" w:hAnsi="宋体" w:eastAsia="宋体" w:cs="宋体"/>
                <w:sz w:val="24"/>
                <w:szCs w:val="24"/>
              </w:rPr>
            </w:pPr>
            <w:r>
              <w:rPr>
                <w:rFonts w:hint="eastAsia" w:ascii="宋体" w:hAnsi="宋体" w:eastAsia="宋体" w:cs="宋体"/>
                <w:sz w:val="24"/>
                <w:szCs w:val="24"/>
              </w:rPr>
              <w:t>提供图形化大模型微调界面，支持微调任务的创建、编辑、删除等操作。支持查看微调日志，模型收敛过程可视化。</w:t>
            </w:r>
          </w:p>
        </w:tc>
      </w:tr>
      <w:tr w14:paraId="11E8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F5818D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1BCF90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9AB032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0A48EB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403C804">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701D0A8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528FAE4">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02DB26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4C3250F">
            <w:pPr>
              <w:spacing w:line="240" w:lineRule="auto"/>
              <w:rPr>
                <w:rFonts w:hint="eastAsia" w:ascii="宋体" w:hAnsi="宋体" w:eastAsia="宋体" w:cs="宋体"/>
                <w:sz w:val="24"/>
                <w:szCs w:val="24"/>
              </w:rPr>
            </w:pPr>
            <w:r>
              <w:rPr>
                <w:rFonts w:hint="eastAsia" w:ascii="宋体" w:hAnsi="宋体" w:eastAsia="宋体" w:cs="宋体"/>
                <w:sz w:val="24"/>
                <w:szCs w:val="24"/>
              </w:rPr>
              <w:t>17、支持知识库的创建、编辑、合并、拆分和删除。</w:t>
            </w:r>
          </w:p>
          <w:p w14:paraId="4D7162CD">
            <w:pPr>
              <w:spacing w:line="240" w:lineRule="auto"/>
              <w:rPr>
                <w:rFonts w:hint="eastAsia" w:ascii="宋体" w:hAnsi="宋体" w:eastAsia="宋体" w:cs="宋体"/>
                <w:sz w:val="24"/>
                <w:szCs w:val="24"/>
              </w:rPr>
            </w:pPr>
            <w:r>
              <w:rPr>
                <w:rFonts w:hint="eastAsia" w:ascii="宋体" w:hAnsi="宋体" w:eastAsia="宋体" w:cs="宋体"/>
                <w:sz w:val="24"/>
                <w:szCs w:val="24"/>
              </w:rPr>
              <w:t>•支持配置检索策略；支持知识编码；支持在线测试。</w:t>
            </w:r>
          </w:p>
        </w:tc>
      </w:tr>
      <w:tr w14:paraId="0DD0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354C69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653A43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1CE9FA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ECF97D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D001812">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7A8610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19E1D95">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9E1BC2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23FB70D8">
            <w:pPr>
              <w:spacing w:line="240" w:lineRule="auto"/>
              <w:rPr>
                <w:rFonts w:hint="eastAsia" w:ascii="宋体" w:hAnsi="宋体" w:eastAsia="宋体" w:cs="宋体"/>
                <w:sz w:val="24"/>
                <w:szCs w:val="24"/>
              </w:rPr>
            </w:pPr>
            <w:r>
              <w:rPr>
                <w:rFonts w:hint="eastAsia" w:ascii="宋体" w:hAnsi="宋体" w:eastAsia="宋体" w:cs="宋体"/>
                <w:sz w:val="24"/>
                <w:szCs w:val="24"/>
              </w:rPr>
              <w:t>18、支持通过可视化方式创建特定功能的大模型助手，支持知识库助手、对话助手和任务助手等多类型助手开发配置。</w:t>
            </w:r>
          </w:p>
          <w:p w14:paraId="0024D80D">
            <w:pPr>
              <w:spacing w:line="240" w:lineRule="auto"/>
              <w:rPr>
                <w:rFonts w:hint="eastAsia" w:ascii="宋体" w:hAnsi="宋体" w:eastAsia="宋体" w:cs="宋体"/>
                <w:sz w:val="24"/>
                <w:szCs w:val="24"/>
              </w:rPr>
            </w:pPr>
            <w:r>
              <w:rPr>
                <w:rFonts w:hint="eastAsia" w:ascii="宋体" w:hAnsi="宋体" w:eastAsia="宋体" w:cs="宋体"/>
                <w:sz w:val="24"/>
                <w:szCs w:val="24"/>
              </w:rPr>
              <w:t>•支持大模型以挂载知识库、配置prompt的形式进行问答。</w:t>
            </w:r>
          </w:p>
          <w:p w14:paraId="20812C70">
            <w:pPr>
              <w:spacing w:line="240" w:lineRule="auto"/>
              <w:rPr>
                <w:rFonts w:hint="eastAsia" w:ascii="宋体" w:hAnsi="宋体" w:eastAsia="宋体" w:cs="宋体"/>
                <w:sz w:val="24"/>
                <w:szCs w:val="24"/>
              </w:rPr>
            </w:pPr>
            <w:r>
              <w:rPr>
                <w:rFonts w:hint="eastAsia" w:ascii="宋体" w:hAnsi="宋体" w:eastAsia="宋体" w:cs="宋体"/>
                <w:sz w:val="24"/>
                <w:szCs w:val="24"/>
              </w:rPr>
              <w:t>•支持用户通过配置prompt设置开发对话助手。</w:t>
            </w:r>
          </w:p>
          <w:p w14:paraId="169283A2">
            <w:pPr>
              <w:spacing w:line="240" w:lineRule="auto"/>
              <w:rPr>
                <w:rFonts w:hint="eastAsia" w:ascii="宋体" w:hAnsi="宋体" w:eastAsia="宋体" w:cs="宋体"/>
                <w:sz w:val="24"/>
                <w:szCs w:val="24"/>
              </w:rPr>
            </w:pPr>
            <w:r>
              <w:rPr>
                <w:rFonts w:hint="eastAsia" w:ascii="宋体" w:hAnsi="宋体" w:eastAsia="宋体" w:cs="宋体"/>
                <w:sz w:val="24"/>
                <w:szCs w:val="24"/>
              </w:rPr>
              <w:t>•支持用户配置平台内置或自定义的插件，开发任务助手。</w:t>
            </w:r>
          </w:p>
        </w:tc>
      </w:tr>
      <w:tr w14:paraId="348E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634084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52EBAC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CBF369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E9ED6D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EA5AE2F">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518091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6213376">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62BFFE9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4FB5B010">
            <w:pPr>
              <w:spacing w:line="240" w:lineRule="auto"/>
              <w:rPr>
                <w:rFonts w:hint="eastAsia" w:ascii="宋体" w:hAnsi="宋体" w:eastAsia="宋体" w:cs="宋体"/>
                <w:sz w:val="24"/>
                <w:szCs w:val="24"/>
              </w:rPr>
            </w:pPr>
            <w:r>
              <w:rPr>
                <w:rFonts w:hint="eastAsia" w:ascii="宋体" w:hAnsi="宋体" w:eastAsia="宋体" w:cs="宋体"/>
                <w:sz w:val="24"/>
                <w:szCs w:val="24"/>
              </w:rPr>
              <w:t>19、</w:t>
            </w:r>
          </w:p>
          <w:p w14:paraId="7A9801E9">
            <w:pPr>
              <w:spacing w:line="240" w:lineRule="auto"/>
              <w:rPr>
                <w:rFonts w:hint="eastAsia" w:ascii="宋体" w:hAnsi="宋体" w:eastAsia="宋体" w:cs="宋体"/>
                <w:sz w:val="24"/>
                <w:szCs w:val="24"/>
              </w:rPr>
            </w:pPr>
            <w:r>
              <w:rPr>
                <w:rFonts w:hint="eastAsia" w:ascii="宋体" w:hAnsi="宋体" w:eastAsia="宋体" w:cs="宋体"/>
                <w:sz w:val="24"/>
                <w:szCs w:val="24"/>
              </w:rPr>
              <w:t>支持与已有服务器平台、存储设备的集成适配。</w:t>
            </w:r>
          </w:p>
        </w:tc>
      </w:tr>
      <w:tr w14:paraId="0F9C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3FEF0C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667852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C6B8C2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4ED428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D1D5CDA">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A7FF90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A824A1B">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4361B43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164C7E7A">
            <w:pPr>
              <w:spacing w:line="240" w:lineRule="auto"/>
              <w:rPr>
                <w:rFonts w:hint="eastAsia" w:ascii="宋体" w:hAnsi="宋体" w:eastAsia="宋体" w:cs="宋体"/>
                <w:sz w:val="24"/>
                <w:szCs w:val="24"/>
              </w:rPr>
            </w:pPr>
            <w:r>
              <w:rPr>
                <w:rFonts w:hint="eastAsia" w:ascii="宋体" w:hAnsi="宋体" w:eastAsia="宋体" w:cs="宋体"/>
                <w:sz w:val="24"/>
                <w:szCs w:val="24"/>
              </w:rPr>
              <w:t>20、保修：3年原厂质保。</w:t>
            </w:r>
          </w:p>
        </w:tc>
      </w:tr>
      <w:tr w14:paraId="7297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restart"/>
            <w:shd w:val="clear" w:color="auto" w:fill="auto"/>
            <w:noWrap/>
            <w:vAlign w:val="center"/>
          </w:tcPr>
          <w:p w14:paraId="151F184B">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2</w:t>
            </w:r>
          </w:p>
        </w:tc>
        <w:tc>
          <w:tcPr>
            <w:tcW w:w="0" w:type="auto"/>
            <w:vMerge w:val="restart"/>
            <w:shd w:val="clear" w:color="auto" w:fill="auto"/>
            <w:vAlign w:val="center"/>
          </w:tcPr>
          <w:p w14:paraId="64F3BE73">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rPr>
              <w:t>信创算力服务终端</w:t>
            </w:r>
          </w:p>
        </w:tc>
        <w:tc>
          <w:tcPr>
            <w:tcW w:w="0" w:type="auto"/>
            <w:vMerge w:val="restart"/>
            <w:shd w:val="clear" w:color="auto" w:fill="auto"/>
            <w:vAlign w:val="center"/>
          </w:tcPr>
          <w:p w14:paraId="75DE2D5F">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0" w:type="auto"/>
            <w:vMerge w:val="restart"/>
            <w:shd w:val="clear" w:color="auto" w:fill="auto"/>
            <w:vAlign w:val="center"/>
          </w:tcPr>
          <w:p w14:paraId="677F8F6B">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rPr>
              <w:t>套</w:t>
            </w:r>
          </w:p>
        </w:tc>
        <w:tc>
          <w:tcPr>
            <w:tcW w:w="0" w:type="auto"/>
            <w:vMerge w:val="restart"/>
            <w:shd w:val="clear" w:color="auto" w:fill="auto"/>
            <w:vAlign w:val="center"/>
          </w:tcPr>
          <w:p w14:paraId="23ADEA18">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否</w:t>
            </w:r>
          </w:p>
        </w:tc>
        <w:tc>
          <w:tcPr>
            <w:tcW w:w="0" w:type="auto"/>
            <w:vMerge w:val="restart"/>
            <w:shd w:val="clear" w:color="auto" w:fill="auto"/>
            <w:noWrap/>
            <w:vAlign w:val="center"/>
          </w:tcPr>
          <w:p w14:paraId="61FA559C">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否</w:t>
            </w:r>
          </w:p>
        </w:tc>
        <w:tc>
          <w:tcPr>
            <w:tcW w:w="0" w:type="auto"/>
            <w:vMerge w:val="restart"/>
            <w:shd w:val="clear" w:color="auto" w:fill="auto"/>
            <w:vAlign w:val="center"/>
          </w:tcPr>
          <w:p w14:paraId="5BB33908">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否</w:t>
            </w:r>
          </w:p>
        </w:tc>
        <w:tc>
          <w:tcPr>
            <w:tcW w:w="0" w:type="auto"/>
            <w:shd w:val="clear" w:color="auto" w:fill="auto"/>
            <w:noWrap/>
            <w:vAlign w:val="center"/>
          </w:tcPr>
          <w:p w14:paraId="059FCF5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5EE0D6A6">
            <w:pPr>
              <w:spacing w:line="240" w:lineRule="auto"/>
              <w:rPr>
                <w:rFonts w:hint="eastAsia" w:ascii="宋体" w:hAnsi="宋体" w:eastAsia="宋体" w:cs="宋体"/>
                <w:sz w:val="24"/>
                <w:szCs w:val="24"/>
              </w:rPr>
            </w:pPr>
            <w:r>
              <w:rPr>
                <w:rFonts w:hint="eastAsia" w:ascii="宋体" w:hAnsi="宋体" w:eastAsia="宋体" w:cs="宋体"/>
                <w:sz w:val="24"/>
                <w:szCs w:val="24"/>
              </w:rPr>
              <w:t>1、形态：≥4U。</w:t>
            </w:r>
          </w:p>
        </w:tc>
      </w:tr>
      <w:tr w14:paraId="3E19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B0AF10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DCD9A7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3ACC4C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60569B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8B6965C">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7FB3165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46C2BE5">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4DCBD7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14:paraId="735C7C4D">
            <w:pPr>
              <w:spacing w:line="240" w:lineRule="auto"/>
              <w:rPr>
                <w:rFonts w:hint="eastAsia" w:ascii="宋体" w:hAnsi="宋体" w:eastAsia="宋体" w:cs="宋体"/>
                <w:sz w:val="24"/>
                <w:szCs w:val="24"/>
              </w:rPr>
            </w:pPr>
            <w:r>
              <w:rPr>
                <w:rFonts w:hint="eastAsia" w:ascii="宋体" w:hAnsi="宋体" w:eastAsia="宋体" w:cs="宋体"/>
                <w:sz w:val="24"/>
                <w:szCs w:val="24"/>
              </w:rPr>
              <w:t>2、处理器：配置2颗非ARM架构处理器，单颗≥32个核心、≥64个线程，主频≥2.2GHz，支持国密算法。</w:t>
            </w:r>
          </w:p>
        </w:tc>
      </w:tr>
      <w:tr w14:paraId="59DE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76D6CBC3">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954011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6BB600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D5F794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2BC945A">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794085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5104ADE">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D15040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6A47A700">
            <w:pPr>
              <w:spacing w:line="240" w:lineRule="auto"/>
              <w:rPr>
                <w:rFonts w:hint="eastAsia" w:ascii="宋体" w:hAnsi="宋体" w:eastAsia="宋体" w:cs="宋体"/>
                <w:sz w:val="24"/>
                <w:szCs w:val="24"/>
              </w:rPr>
            </w:pPr>
            <w:r>
              <w:rPr>
                <w:rFonts w:hint="eastAsia" w:ascii="宋体" w:hAnsi="宋体" w:eastAsia="宋体" w:cs="宋体"/>
                <w:sz w:val="24"/>
                <w:szCs w:val="24"/>
              </w:rPr>
              <w:t>3、内存：配置≥1024GB 3200MHz DDR4。</w:t>
            </w:r>
          </w:p>
        </w:tc>
      </w:tr>
      <w:tr w14:paraId="2922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E019F9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F538A1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2E57D5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905EBB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3308A0B">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82CBB8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723540E">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15C7C6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441D0A54">
            <w:pPr>
              <w:spacing w:line="240" w:lineRule="auto"/>
              <w:rPr>
                <w:rFonts w:hint="eastAsia" w:ascii="宋体" w:hAnsi="宋体" w:eastAsia="宋体" w:cs="宋体"/>
                <w:sz w:val="24"/>
                <w:szCs w:val="24"/>
              </w:rPr>
            </w:pPr>
            <w:r>
              <w:rPr>
                <w:rFonts w:hint="eastAsia" w:ascii="宋体" w:hAnsi="宋体" w:eastAsia="宋体" w:cs="宋体"/>
                <w:sz w:val="24"/>
                <w:szCs w:val="24"/>
              </w:rPr>
              <w:t>4、硬盘：配置≥6块1.92T SSD。</w:t>
            </w:r>
          </w:p>
        </w:tc>
      </w:tr>
      <w:tr w14:paraId="706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BFE950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0A82B2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E8B2E9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C8700A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231613C">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7B6C0EB7">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B7D6D1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5CF6A9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51381AB6">
            <w:pPr>
              <w:spacing w:line="240" w:lineRule="auto"/>
              <w:rPr>
                <w:rFonts w:hint="eastAsia" w:ascii="宋体" w:hAnsi="宋体" w:eastAsia="宋体" w:cs="宋体"/>
                <w:sz w:val="24"/>
                <w:szCs w:val="24"/>
              </w:rPr>
            </w:pPr>
            <w:r>
              <w:rPr>
                <w:rFonts w:hint="eastAsia" w:ascii="宋体" w:hAnsi="宋体" w:eastAsia="宋体" w:cs="宋体"/>
                <w:sz w:val="24"/>
                <w:szCs w:val="24"/>
              </w:rPr>
              <w:t>5、RAID支持：配置≥4G缓存独立raid卡，支持RAID 0, 1, 5, 6, 10, 50, 60。</w:t>
            </w:r>
          </w:p>
        </w:tc>
      </w:tr>
      <w:tr w14:paraId="10C2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0360D86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55A579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5DFC8F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52EC9D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F02D3FC">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A8B6D4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1ECD51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35B80DC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70F56222">
            <w:pPr>
              <w:spacing w:line="240" w:lineRule="auto"/>
              <w:rPr>
                <w:rFonts w:hint="eastAsia" w:ascii="宋体" w:hAnsi="宋体" w:eastAsia="宋体" w:cs="宋体"/>
                <w:sz w:val="24"/>
                <w:szCs w:val="24"/>
              </w:rPr>
            </w:pPr>
            <w:r>
              <w:rPr>
                <w:rFonts w:hint="eastAsia" w:ascii="宋体" w:hAnsi="宋体" w:eastAsia="宋体" w:cs="宋体"/>
                <w:sz w:val="24"/>
                <w:szCs w:val="24"/>
              </w:rPr>
              <w:t>6、网络：配置≥2个10G万兆光口（含光模块），配置≥4个千兆网口。</w:t>
            </w:r>
          </w:p>
        </w:tc>
      </w:tr>
      <w:tr w14:paraId="55DE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588831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119FCE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D07BA7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C89B9A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AA33121">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1A07816">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42BA733">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49BA4D1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14:paraId="0B2CEF23">
            <w:pPr>
              <w:spacing w:line="240" w:lineRule="auto"/>
              <w:rPr>
                <w:rFonts w:hint="eastAsia" w:ascii="宋体" w:hAnsi="宋体" w:eastAsia="宋体" w:cs="宋体"/>
                <w:sz w:val="24"/>
                <w:szCs w:val="24"/>
              </w:rPr>
            </w:pPr>
            <w:r>
              <w:rPr>
                <w:rFonts w:hint="eastAsia" w:ascii="宋体" w:hAnsi="宋体" w:eastAsia="宋体" w:cs="宋体"/>
                <w:sz w:val="24"/>
                <w:szCs w:val="24"/>
              </w:rPr>
              <w:t>7、GPU：配置≥8块CUDA生态GPU加速卡，单卡提供≥48G显存、FP32算力≥58TFLOPS，FP8算力≥230 TFLOPS，显存带宽≥850GB/s。</w:t>
            </w:r>
          </w:p>
        </w:tc>
      </w:tr>
      <w:tr w14:paraId="6567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CCCEB2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C66317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783F36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C1D7C1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22EC86F">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07CC461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2AA5658">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BBF545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1612AC47">
            <w:pPr>
              <w:spacing w:line="240" w:lineRule="auto"/>
              <w:rPr>
                <w:rFonts w:hint="eastAsia" w:ascii="宋体" w:hAnsi="宋体" w:eastAsia="宋体" w:cs="宋体"/>
                <w:sz w:val="24"/>
                <w:szCs w:val="24"/>
              </w:rPr>
            </w:pPr>
            <w:r>
              <w:rPr>
                <w:rFonts w:hint="eastAsia" w:ascii="宋体" w:hAnsi="宋体" w:eastAsia="宋体" w:cs="宋体"/>
                <w:sz w:val="24"/>
                <w:szCs w:val="24"/>
              </w:rPr>
              <w:t>8、PCIe扩展：配置8块GPU后仍支持≥4个PCIe插槽。</w:t>
            </w:r>
          </w:p>
        </w:tc>
      </w:tr>
      <w:tr w14:paraId="19BF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B68AC8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9AEB65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E95190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8ED954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D83C08C">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327E7DD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9AEB025">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7DA84BC3">
            <w:pPr>
              <w:spacing w:line="240" w:lineRule="auto"/>
              <w:jc w:val="center"/>
              <w:rPr>
                <w:rFonts w:hint="eastAsia" w:ascii="宋体" w:hAnsi="宋体" w:eastAsia="宋体" w:cs="宋体"/>
                <w:kern w:val="2"/>
                <w:sz w:val="24"/>
                <w:szCs w:val="24"/>
              </w:rPr>
            </w:pPr>
            <w:r>
              <w:rPr>
                <w:rFonts w:hint="eastAsia" w:ascii="宋体" w:hAnsi="宋体" w:eastAsia="宋体" w:cs="宋体"/>
                <w:sz w:val="24"/>
                <w:szCs w:val="24"/>
              </w:rPr>
              <w:t>一般</w:t>
            </w:r>
          </w:p>
        </w:tc>
        <w:tc>
          <w:tcPr>
            <w:tcW w:w="0" w:type="auto"/>
            <w:shd w:val="clear" w:color="auto" w:fill="auto"/>
            <w:vAlign w:val="center"/>
          </w:tcPr>
          <w:p w14:paraId="3C6F6D41">
            <w:pPr>
              <w:spacing w:line="240" w:lineRule="auto"/>
              <w:rPr>
                <w:rFonts w:hint="eastAsia" w:ascii="宋体" w:hAnsi="宋体" w:eastAsia="宋体" w:cs="宋体"/>
                <w:sz w:val="24"/>
                <w:szCs w:val="24"/>
              </w:rPr>
            </w:pPr>
            <w:r>
              <w:rPr>
                <w:rFonts w:hint="eastAsia" w:ascii="宋体" w:hAnsi="宋体" w:eastAsia="宋体" w:cs="宋体"/>
                <w:sz w:val="24"/>
                <w:szCs w:val="24"/>
              </w:rPr>
              <w:t>9、管理：支持IPMI2.0、Redfish、SNMP等标准接口，提供故障诊断、自动化运维、性能监控和远程管理，提供对系统/内存/电源/风扇/温度/网络/硬盘等关键部件的故障诊断报警功能等。</w:t>
            </w:r>
          </w:p>
        </w:tc>
      </w:tr>
      <w:tr w14:paraId="4E36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4963C2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28D788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854E7B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C4B600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2AFDDFC">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FE3E68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50FF561">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70455B62">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2FCFB3F1">
            <w:pPr>
              <w:spacing w:line="240" w:lineRule="auto"/>
              <w:rPr>
                <w:rFonts w:hint="eastAsia" w:ascii="宋体" w:hAnsi="宋体" w:eastAsia="宋体" w:cs="宋体"/>
                <w:sz w:val="24"/>
                <w:szCs w:val="24"/>
              </w:rPr>
            </w:pPr>
            <w:r>
              <w:rPr>
                <w:rFonts w:hint="eastAsia" w:ascii="宋体" w:hAnsi="宋体" w:eastAsia="宋体" w:cs="宋体"/>
                <w:sz w:val="24"/>
                <w:szCs w:val="24"/>
              </w:rPr>
              <w:t>10、电源：满配冗余电源，配置导轨。</w:t>
            </w:r>
          </w:p>
        </w:tc>
      </w:tr>
      <w:tr w14:paraId="4BE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2BA53836">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C6A4C00">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4F29AC8">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3A28AB05">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535B9C8">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3924F4C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9CEC524">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6C6DC9EC">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4AE84664">
            <w:pPr>
              <w:spacing w:line="240" w:lineRule="auto"/>
              <w:rPr>
                <w:rFonts w:hint="eastAsia" w:ascii="宋体" w:hAnsi="宋体" w:eastAsia="宋体" w:cs="宋体"/>
                <w:sz w:val="24"/>
                <w:szCs w:val="24"/>
              </w:rPr>
            </w:pPr>
            <w:r>
              <w:rPr>
                <w:rFonts w:hint="eastAsia" w:ascii="宋体" w:hAnsi="宋体" w:eastAsia="宋体" w:cs="宋体"/>
                <w:sz w:val="24"/>
                <w:szCs w:val="24"/>
              </w:rPr>
              <w:t>11、安全：支持TPM 2.0和TCM。</w:t>
            </w:r>
          </w:p>
        </w:tc>
      </w:tr>
      <w:tr w14:paraId="7B4D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27290A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024AE8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A48A35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FB0590A">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1B54B332">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1B6B417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CBBEDFC">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50A5E8B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7DE6ECF">
            <w:pPr>
              <w:spacing w:line="240" w:lineRule="auto"/>
              <w:rPr>
                <w:rFonts w:hint="eastAsia" w:ascii="宋体" w:hAnsi="宋体" w:eastAsia="宋体" w:cs="宋体"/>
                <w:sz w:val="24"/>
                <w:szCs w:val="24"/>
              </w:rPr>
            </w:pPr>
            <w:r>
              <w:rPr>
                <w:rFonts w:hint="eastAsia" w:ascii="宋体" w:hAnsi="宋体" w:eastAsia="宋体" w:cs="宋体"/>
                <w:sz w:val="24"/>
                <w:szCs w:val="24"/>
              </w:rPr>
              <w:t>12、保修：3年原厂质保。</w:t>
            </w:r>
          </w:p>
        </w:tc>
      </w:tr>
      <w:tr w14:paraId="0FB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restart"/>
            <w:shd w:val="clear" w:color="auto" w:fill="auto"/>
            <w:noWrap/>
            <w:vAlign w:val="center"/>
          </w:tcPr>
          <w:p w14:paraId="199F92B6">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3</w:t>
            </w:r>
          </w:p>
        </w:tc>
        <w:tc>
          <w:tcPr>
            <w:tcW w:w="0" w:type="auto"/>
            <w:vMerge w:val="restart"/>
            <w:shd w:val="clear" w:color="auto" w:fill="auto"/>
            <w:vAlign w:val="center"/>
          </w:tcPr>
          <w:p w14:paraId="19CC20D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信创边缘计算推理服务器</w:t>
            </w:r>
          </w:p>
        </w:tc>
        <w:tc>
          <w:tcPr>
            <w:tcW w:w="0" w:type="auto"/>
            <w:vMerge w:val="restart"/>
            <w:shd w:val="clear" w:color="auto" w:fill="auto"/>
            <w:vAlign w:val="center"/>
          </w:tcPr>
          <w:p w14:paraId="4713BD7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vMerge w:val="restart"/>
            <w:shd w:val="clear" w:color="auto" w:fill="auto"/>
            <w:vAlign w:val="center"/>
          </w:tcPr>
          <w:p w14:paraId="5B57E89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0" w:type="auto"/>
            <w:vMerge w:val="restart"/>
            <w:shd w:val="clear" w:color="auto" w:fill="auto"/>
            <w:vAlign w:val="center"/>
          </w:tcPr>
          <w:p w14:paraId="56823CA6">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0" w:type="auto"/>
            <w:vMerge w:val="restart"/>
            <w:shd w:val="clear" w:color="auto" w:fill="auto"/>
            <w:noWrap/>
            <w:vAlign w:val="center"/>
          </w:tcPr>
          <w:p w14:paraId="5D5D7FB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0" w:type="auto"/>
            <w:vMerge w:val="restart"/>
            <w:shd w:val="clear" w:color="auto" w:fill="auto"/>
            <w:vAlign w:val="center"/>
          </w:tcPr>
          <w:p w14:paraId="66F8D63C">
            <w:pPr>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0" w:type="auto"/>
            <w:shd w:val="clear" w:color="auto" w:fill="auto"/>
            <w:noWrap/>
            <w:vAlign w:val="center"/>
          </w:tcPr>
          <w:p w14:paraId="733F9E5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6AA9D0E2">
            <w:pPr>
              <w:spacing w:line="240" w:lineRule="auto"/>
              <w:rPr>
                <w:rFonts w:hint="eastAsia" w:ascii="宋体" w:hAnsi="宋体" w:eastAsia="宋体" w:cs="宋体"/>
                <w:sz w:val="24"/>
                <w:szCs w:val="24"/>
              </w:rPr>
            </w:pPr>
            <w:r>
              <w:rPr>
                <w:rFonts w:hint="eastAsia" w:ascii="宋体" w:hAnsi="宋体" w:eastAsia="宋体" w:cs="宋体"/>
                <w:sz w:val="24"/>
                <w:szCs w:val="24"/>
              </w:rPr>
              <w:t>1、ARM架构处理器，总核心数≥48，频率≥2.6GHZ。</w:t>
            </w:r>
          </w:p>
        </w:tc>
      </w:tr>
      <w:tr w14:paraId="0B5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B45970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7C0785B">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DD62276">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AF4D5D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DBBA1AB">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523608CB">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DFC2E55">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E8A63D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2E26388E">
            <w:pPr>
              <w:spacing w:line="240" w:lineRule="auto"/>
              <w:rPr>
                <w:rFonts w:hint="eastAsia" w:ascii="宋体" w:hAnsi="宋体" w:eastAsia="宋体" w:cs="宋体"/>
                <w:sz w:val="24"/>
                <w:szCs w:val="24"/>
              </w:rPr>
            </w:pPr>
            <w:r>
              <w:rPr>
                <w:rFonts w:hint="eastAsia" w:ascii="宋体" w:hAnsi="宋体" w:eastAsia="宋体" w:cs="宋体"/>
                <w:sz w:val="24"/>
                <w:szCs w:val="24"/>
              </w:rPr>
              <w:t>2、1024G DDR4 3200内存。</w:t>
            </w:r>
          </w:p>
        </w:tc>
      </w:tr>
      <w:tr w14:paraId="2134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19549D9">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73EEDF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43ADD7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14DF5F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6E0F9BD">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5FD9A3A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B68D96C">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069D93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37BE78FB">
            <w:pPr>
              <w:spacing w:line="240" w:lineRule="auto"/>
              <w:rPr>
                <w:rFonts w:hint="eastAsia" w:ascii="宋体" w:hAnsi="宋体" w:eastAsia="宋体" w:cs="宋体"/>
                <w:sz w:val="24"/>
                <w:szCs w:val="24"/>
              </w:rPr>
            </w:pPr>
            <w:r>
              <w:rPr>
                <w:rFonts w:hint="eastAsia" w:ascii="宋体" w:hAnsi="宋体" w:eastAsia="宋体" w:cs="宋体"/>
                <w:sz w:val="24"/>
                <w:szCs w:val="24"/>
              </w:rPr>
              <w:t>3、支持8个硬盘槽位。</w:t>
            </w:r>
          </w:p>
        </w:tc>
      </w:tr>
      <w:tr w14:paraId="4ECD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65060CCA">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425923A">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06783A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E335E1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3AC59F6">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16041D8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6ED210D">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219D03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73563F79">
            <w:pPr>
              <w:spacing w:line="240" w:lineRule="auto"/>
              <w:rPr>
                <w:rFonts w:hint="eastAsia" w:ascii="宋体" w:hAnsi="宋体" w:eastAsia="宋体" w:cs="宋体"/>
                <w:sz w:val="24"/>
                <w:szCs w:val="24"/>
              </w:rPr>
            </w:pPr>
            <w:r>
              <w:rPr>
                <w:rFonts w:hint="eastAsia" w:ascii="宋体" w:hAnsi="宋体" w:eastAsia="宋体" w:cs="宋体"/>
                <w:sz w:val="24"/>
                <w:szCs w:val="24"/>
              </w:rPr>
              <w:t>4、4千兆口网卡。</w:t>
            </w:r>
          </w:p>
        </w:tc>
      </w:tr>
      <w:tr w14:paraId="075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D5E8D9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F6B6CD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73B65C6">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CBC257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8F5F31D">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4E7C71C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726D69D">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803F24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5A72F5FF">
            <w:pPr>
              <w:spacing w:line="240" w:lineRule="auto"/>
              <w:rPr>
                <w:rFonts w:hint="eastAsia" w:ascii="宋体" w:hAnsi="宋体" w:eastAsia="宋体" w:cs="宋体"/>
                <w:sz w:val="24"/>
                <w:szCs w:val="24"/>
              </w:rPr>
            </w:pPr>
            <w:r>
              <w:rPr>
                <w:rFonts w:hint="eastAsia" w:ascii="宋体" w:hAnsi="宋体" w:eastAsia="宋体" w:cs="宋体"/>
                <w:sz w:val="24"/>
                <w:szCs w:val="24"/>
              </w:rPr>
              <w:t>5、硬盘：固态硬盘≥3.8T，机械硬盘≥64T。</w:t>
            </w:r>
          </w:p>
        </w:tc>
      </w:tr>
      <w:tr w14:paraId="3B65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3EA26D5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8491304">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66B890D">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675704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261CC67">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5CEB7F7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1867962">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2EEB8D6D">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w:t>
            </w:r>
          </w:p>
        </w:tc>
        <w:tc>
          <w:tcPr>
            <w:tcW w:w="0" w:type="auto"/>
            <w:shd w:val="clear" w:color="auto" w:fill="auto"/>
            <w:vAlign w:val="center"/>
          </w:tcPr>
          <w:p w14:paraId="1D9D6CDC">
            <w:pPr>
              <w:spacing w:line="240" w:lineRule="auto"/>
              <w:rPr>
                <w:rFonts w:hint="eastAsia" w:ascii="宋体" w:hAnsi="宋体" w:eastAsia="宋体" w:cs="宋体"/>
                <w:sz w:val="24"/>
                <w:szCs w:val="24"/>
                <w:lang w:bidi="ar"/>
              </w:rPr>
            </w:pPr>
            <w:r>
              <w:rPr>
                <w:rFonts w:hint="eastAsia" w:ascii="宋体" w:hAnsi="宋体" w:eastAsia="宋体" w:cs="宋体"/>
                <w:sz w:val="24"/>
                <w:szCs w:val="24"/>
              </w:rPr>
              <w:t>6、2张推理卡，单卡显存≥64GB，INT8≥256 TOPS，FP16≥128 TFLOPS。</w:t>
            </w:r>
          </w:p>
        </w:tc>
      </w:tr>
      <w:tr w14:paraId="099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250A45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ABE41BF">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6FED44E7">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C795052">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50B441D">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2C40DCC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4F62D31A">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1D495C3F">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2264A186">
            <w:pPr>
              <w:spacing w:line="240" w:lineRule="auto"/>
              <w:rPr>
                <w:rFonts w:hint="eastAsia" w:ascii="宋体" w:hAnsi="宋体" w:eastAsia="宋体" w:cs="宋体"/>
                <w:sz w:val="24"/>
                <w:szCs w:val="24"/>
                <w:lang w:bidi="ar"/>
              </w:rPr>
            </w:pPr>
            <w:r>
              <w:rPr>
                <w:rFonts w:hint="eastAsia" w:ascii="宋体" w:hAnsi="宋体" w:eastAsia="宋体" w:cs="宋体"/>
                <w:sz w:val="24"/>
                <w:szCs w:val="24"/>
              </w:rPr>
              <w:t>7、4G缓存RAID卡一张。</w:t>
            </w:r>
          </w:p>
        </w:tc>
      </w:tr>
      <w:tr w14:paraId="1824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0BE47DB">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5ED773D9">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A843D21">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0E29C0AE">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72D194B2">
            <w:pPr>
              <w:spacing w:line="240" w:lineRule="auto"/>
              <w:jc w:val="center"/>
              <w:rPr>
                <w:rFonts w:hint="eastAsia" w:ascii="宋体" w:hAnsi="宋体" w:eastAsia="宋体" w:cs="宋体"/>
                <w:sz w:val="24"/>
                <w:szCs w:val="24"/>
                <w:lang w:bidi="ar"/>
              </w:rPr>
            </w:pPr>
          </w:p>
        </w:tc>
        <w:tc>
          <w:tcPr>
            <w:tcW w:w="0" w:type="auto"/>
            <w:vMerge w:val="continue"/>
            <w:shd w:val="clear" w:color="auto" w:fill="auto"/>
            <w:noWrap/>
            <w:vAlign w:val="center"/>
          </w:tcPr>
          <w:p w14:paraId="6D42676C">
            <w:pPr>
              <w:spacing w:line="240" w:lineRule="auto"/>
              <w:jc w:val="center"/>
              <w:rPr>
                <w:rFonts w:hint="eastAsia" w:ascii="宋体" w:hAnsi="宋体" w:eastAsia="宋体" w:cs="宋体"/>
                <w:sz w:val="24"/>
                <w:szCs w:val="24"/>
                <w:lang w:bidi="ar"/>
              </w:rPr>
            </w:pPr>
          </w:p>
        </w:tc>
        <w:tc>
          <w:tcPr>
            <w:tcW w:w="0" w:type="auto"/>
            <w:vMerge w:val="continue"/>
            <w:shd w:val="clear" w:color="auto" w:fill="auto"/>
            <w:vAlign w:val="center"/>
          </w:tcPr>
          <w:p w14:paraId="278696B1">
            <w:pPr>
              <w:spacing w:line="240" w:lineRule="auto"/>
              <w:jc w:val="center"/>
              <w:rPr>
                <w:rFonts w:hint="eastAsia" w:ascii="宋体" w:hAnsi="宋体" w:eastAsia="宋体" w:cs="宋体"/>
                <w:sz w:val="24"/>
                <w:szCs w:val="24"/>
                <w:lang w:bidi="ar"/>
              </w:rPr>
            </w:pPr>
          </w:p>
        </w:tc>
        <w:tc>
          <w:tcPr>
            <w:tcW w:w="0" w:type="auto"/>
            <w:shd w:val="clear" w:color="auto" w:fill="auto"/>
            <w:noWrap/>
            <w:vAlign w:val="center"/>
          </w:tcPr>
          <w:p w14:paraId="714FD2E6">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一般</w:t>
            </w:r>
          </w:p>
        </w:tc>
        <w:tc>
          <w:tcPr>
            <w:tcW w:w="0" w:type="auto"/>
            <w:shd w:val="clear" w:color="auto" w:fill="auto"/>
            <w:vAlign w:val="center"/>
          </w:tcPr>
          <w:p w14:paraId="1E5AB027">
            <w:pPr>
              <w:spacing w:line="240" w:lineRule="auto"/>
              <w:rPr>
                <w:rFonts w:hint="eastAsia" w:ascii="宋体" w:hAnsi="宋体" w:eastAsia="宋体" w:cs="宋体"/>
                <w:sz w:val="24"/>
                <w:szCs w:val="24"/>
                <w:lang w:bidi="ar"/>
              </w:rPr>
            </w:pPr>
            <w:r>
              <w:rPr>
                <w:rFonts w:hint="eastAsia" w:ascii="宋体" w:hAnsi="宋体" w:eastAsia="宋体" w:cs="宋体"/>
                <w:sz w:val="24"/>
                <w:szCs w:val="24"/>
              </w:rPr>
              <w:t>8、满配冗余电源。</w:t>
            </w:r>
          </w:p>
        </w:tc>
      </w:tr>
      <w:tr w14:paraId="4BD7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restart"/>
            <w:shd w:val="clear" w:color="auto" w:fill="auto"/>
            <w:noWrap/>
            <w:vAlign w:val="center"/>
          </w:tcPr>
          <w:p w14:paraId="65D6C322">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4</w:t>
            </w:r>
          </w:p>
        </w:tc>
        <w:tc>
          <w:tcPr>
            <w:tcW w:w="0" w:type="auto"/>
            <w:vMerge w:val="restart"/>
            <w:shd w:val="clear" w:color="auto" w:fill="auto"/>
            <w:vAlign w:val="center"/>
          </w:tcPr>
          <w:p w14:paraId="7B08E031">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万兆业务交换机</w:t>
            </w:r>
          </w:p>
        </w:tc>
        <w:tc>
          <w:tcPr>
            <w:tcW w:w="0" w:type="auto"/>
            <w:vMerge w:val="restart"/>
            <w:shd w:val="clear" w:color="auto" w:fill="auto"/>
            <w:vAlign w:val="center"/>
          </w:tcPr>
          <w:p w14:paraId="1E8DA6C6">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2</w:t>
            </w:r>
          </w:p>
        </w:tc>
        <w:tc>
          <w:tcPr>
            <w:tcW w:w="0" w:type="auto"/>
            <w:vMerge w:val="restart"/>
            <w:shd w:val="clear" w:color="auto" w:fill="auto"/>
            <w:vAlign w:val="center"/>
          </w:tcPr>
          <w:p w14:paraId="3B43ADDB">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台</w:t>
            </w:r>
          </w:p>
        </w:tc>
        <w:tc>
          <w:tcPr>
            <w:tcW w:w="0" w:type="auto"/>
            <w:vMerge w:val="restart"/>
            <w:shd w:val="clear" w:color="auto" w:fill="auto"/>
            <w:vAlign w:val="center"/>
          </w:tcPr>
          <w:p w14:paraId="2E717FAE">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否</w:t>
            </w:r>
          </w:p>
        </w:tc>
        <w:tc>
          <w:tcPr>
            <w:tcW w:w="0" w:type="auto"/>
            <w:vMerge w:val="restart"/>
            <w:shd w:val="clear" w:color="auto" w:fill="auto"/>
            <w:noWrap/>
            <w:vAlign w:val="center"/>
          </w:tcPr>
          <w:p w14:paraId="533BF6E0">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否</w:t>
            </w:r>
          </w:p>
        </w:tc>
        <w:tc>
          <w:tcPr>
            <w:tcW w:w="0" w:type="auto"/>
            <w:vMerge w:val="restart"/>
            <w:shd w:val="clear" w:color="auto" w:fill="auto"/>
            <w:vAlign w:val="center"/>
          </w:tcPr>
          <w:p w14:paraId="3E7ABFD9">
            <w:pPr>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rPr>
              <w:t>否</w:t>
            </w:r>
          </w:p>
        </w:tc>
        <w:tc>
          <w:tcPr>
            <w:tcW w:w="0" w:type="auto"/>
            <w:shd w:val="clear" w:color="auto" w:fill="auto"/>
            <w:noWrap/>
            <w:vAlign w:val="center"/>
          </w:tcPr>
          <w:p w14:paraId="061EC4D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65716FB9">
            <w:pPr>
              <w:spacing w:line="240" w:lineRule="auto"/>
              <w:rPr>
                <w:rFonts w:hint="eastAsia" w:ascii="宋体" w:hAnsi="宋体" w:eastAsia="宋体" w:cs="宋体"/>
                <w:sz w:val="24"/>
                <w:szCs w:val="24"/>
              </w:rPr>
            </w:pPr>
            <w:r>
              <w:rPr>
                <w:rFonts w:hint="eastAsia" w:ascii="宋体" w:hAnsi="宋体" w:eastAsia="宋体" w:cs="宋体"/>
                <w:sz w:val="24"/>
                <w:szCs w:val="24"/>
              </w:rPr>
              <w:t>1、24个1G/10Gbps SFP+端口2个40G/100G QSFP28端口（支持拆分为10G/25G端口使用）。</w:t>
            </w:r>
          </w:p>
        </w:tc>
      </w:tr>
      <w:tr w14:paraId="25B7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5F2CCB96">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48B150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6B3929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20AFF1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AE938EC">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4039A39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E45498A">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3233F1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3A38879C">
            <w:pPr>
              <w:spacing w:line="240" w:lineRule="auto"/>
              <w:rPr>
                <w:rFonts w:hint="eastAsia" w:ascii="宋体" w:hAnsi="宋体" w:eastAsia="宋体" w:cs="宋体"/>
                <w:sz w:val="24"/>
                <w:szCs w:val="24"/>
              </w:rPr>
            </w:pPr>
            <w:r>
              <w:rPr>
                <w:rFonts w:hint="eastAsia" w:ascii="宋体" w:hAnsi="宋体" w:eastAsia="宋体" w:cs="宋体"/>
                <w:sz w:val="24"/>
                <w:szCs w:val="24"/>
              </w:rPr>
              <w:t>2、MAC地址表容量：≥80K，路由表容量：≥48K，提供检测报告</w:t>
            </w:r>
          </w:p>
        </w:tc>
      </w:tr>
      <w:tr w14:paraId="0967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28ED11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BF7633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CA5763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2B4076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F8CA67A">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41DB68AB">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94B3380">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750384F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23122020">
            <w:pPr>
              <w:spacing w:line="240" w:lineRule="auto"/>
              <w:rPr>
                <w:rFonts w:hint="eastAsia" w:ascii="宋体" w:hAnsi="宋体" w:eastAsia="宋体" w:cs="宋体"/>
                <w:sz w:val="24"/>
                <w:szCs w:val="24"/>
              </w:rPr>
            </w:pPr>
            <w:r>
              <w:rPr>
                <w:rFonts w:hint="eastAsia" w:ascii="宋体" w:hAnsi="宋体" w:eastAsia="宋体" w:cs="宋体"/>
                <w:sz w:val="24"/>
                <w:szCs w:val="24"/>
              </w:rPr>
              <w:t>3、静态路由、RIPv1/v2、OSPF、BGP。</w:t>
            </w:r>
          </w:p>
        </w:tc>
      </w:tr>
      <w:tr w14:paraId="7C2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716C98A">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03E634F">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474C60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EDE162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90553BA">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6C69D3D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32F0038B">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3CC4C6A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14:paraId="64070396">
            <w:pPr>
              <w:spacing w:line="240" w:lineRule="auto"/>
              <w:rPr>
                <w:rFonts w:hint="eastAsia" w:ascii="宋体" w:hAnsi="宋体" w:eastAsia="宋体" w:cs="宋体"/>
                <w:sz w:val="24"/>
                <w:szCs w:val="24"/>
              </w:rPr>
            </w:pPr>
            <w:r>
              <w:rPr>
                <w:rFonts w:hint="eastAsia" w:ascii="宋体" w:hAnsi="宋体" w:eastAsia="宋体" w:cs="宋体"/>
                <w:sz w:val="24"/>
                <w:szCs w:val="24"/>
              </w:rPr>
              <w:t>4、支持M-LAG技术，支持VRRP技术。</w:t>
            </w:r>
          </w:p>
        </w:tc>
      </w:tr>
      <w:tr w14:paraId="0D0E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1122C74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E4489A5">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661736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394346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7ABC117">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431B6F7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E90E9FA">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686CCDF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0" w:type="auto"/>
            <w:shd w:val="clear" w:color="auto" w:fill="auto"/>
            <w:vAlign w:val="center"/>
          </w:tcPr>
          <w:p w14:paraId="3125AA9C">
            <w:pPr>
              <w:spacing w:line="240" w:lineRule="auto"/>
              <w:rPr>
                <w:rFonts w:hint="eastAsia" w:ascii="宋体" w:hAnsi="宋体" w:eastAsia="宋体" w:cs="宋体"/>
                <w:sz w:val="24"/>
                <w:szCs w:val="24"/>
              </w:rPr>
            </w:pPr>
            <w:r>
              <w:rPr>
                <w:rFonts w:hint="eastAsia" w:ascii="宋体" w:hAnsi="宋体" w:eastAsia="宋体" w:cs="宋体"/>
                <w:sz w:val="24"/>
                <w:szCs w:val="24"/>
              </w:rPr>
              <w:t>5、支持VxLAN二层/三层网关，支持VXLAN Tunnel及BGP EVPN</w:t>
            </w:r>
          </w:p>
        </w:tc>
      </w:tr>
      <w:tr w14:paraId="6AD7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61AD839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89F025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72A8BF0">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647747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E4AEF5C">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7BCD943B">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8BC8649">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137852B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A0B3405">
            <w:pPr>
              <w:spacing w:line="240" w:lineRule="auto"/>
              <w:rPr>
                <w:rFonts w:hint="eastAsia" w:ascii="宋体" w:hAnsi="宋体" w:eastAsia="宋体" w:cs="宋体"/>
                <w:sz w:val="24"/>
                <w:szCs w:val="24"/>
              </w:rPr>
            </w:pPr>
            <w:r>
              <w:rPr>
                <w:rFonts w:hint="eastAsia" w:ascii="宋体" w:hAnsi="宋体" w:eastAsia="宋体" w:cs="宋体"/>
                <w:sz w:val="24"/>
                <w:szCs w:val="24"/>
              </w:rPr>
              <w:t>6、支持N:M镜像，N与M数量≥32。</w:t>
            </w:r>
          </w:p>
        </w:tc>
      </w:tr>
      <w:tr w14:paraId="2006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shd w:val="clear" w:color="auto" w:fill="auto"/>
            <w:noWrap/>
            <w:vAlign w:val="center"/>
          </w:tcPr>
          <w:p w14:paraId="437A3B9B">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34D950E">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125C1B92">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29A6F93">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29B75BCE">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7A49BBFC">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79BD9DB1">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7A5785C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0AB36A6D">
            <w:pPr>
              <w:spacing w:line="240" w:lineRule="auto"/>
              <w:rPr>
                <w:rFonts w:hint="eastAsia" w:ascii="宋体" w:hAnsi="宋体" w:eastAsia="宋体" w:cs="宋体"/>
                <w:sz w:val="24"/>
                <w:szCs w:val="24"/>
              </w:rPr>
            </w:pPr>
            <w:r>
              <w:rPr>
                <w:rFonts w:hint="eastAsia" w:ascii="宋体" w:hAnsi="宋体" w:eastAsia="宋体" w:cs="宋体"/>
                <w:sz w:val="24"/>
                <w:szCs w:val="24"/>
              </w:rPr>
              <w:t>7、BGP协议支持MD5加密和SM3国密加密。</w:t>
            </w:r>
          </w:p>
        </w:tc>
      </w:tr>
      <w:tr w14:paraId="2C2F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0" w:type="auto"/>
            <w:vMerge w:val="continue"/>
            <w:shd w:val="clear" w:color="auto" w:fill="auto"/>
            <w:noWrap/>
            <w:vAlign w:val="center"/>
          </w:tcPr>
          <w:p w14:paraId="34E4B79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4563113D">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49929A8">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02DFB301">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5AE2DDD7">
            <w:pPr>
              <w:spacing w:line="240" w:lineRule="auto"/>
              <w:jc w:val="center"/>
              <w:rPr>
                <w:rFonts w:hint="eastAsia" w:ascii="宋体" w:hAnsi="宋体" w:eastAsia="宋体" w:cs="宋体"/>
                <w:sz w:val="24"/>
                <w:szCs w:val="24"/>
              </w:rPr>
            </w:pPr>
          </w:p>
        </w:tc>
        <w:tc>
          <w:tcPr>
            <w:tcW w:w="0" w:type="auto"/>
            <w:vMerge w:val="continue"/>
            <w:shd w:val="clear" w:color="auto" w:fill="auto"/>
            <w:noWrap/>
            <w:vAlign w:val="center"/>
          </w:tcPr>
          <w:p w14:paraId="4C656EF4">
            <w:pPr>
              <w:spacing w:line="240" w:lineRule="auto"/>
              <w:jc w:val="center"/>
              <w:rPr>
                <w:rFonts w:hint="eastAsia" w:ascii="宋体" w:hAnsi="宋体" w:eastAsia="宋体" w:cs="宋体"/>
                <w:sz w:val="24"/>
                <w:szCs w:val="24"/>
              </w:rPr>
            </w:pPr>
          </w:p>
        </w:tc>
        <w:tc>
          <w:tcPr>
            <w:tcW w:w="0" w:type="auto"/>
            <w:vMerge w:val="continue"/>
            <w:shd w:val="clear" w:color="auto" w:fill="auto"/>
            <w:vAlign w:val="center"/>
          </w:tcPr>
          <w:p w14:paraId="6A5E5C0E">
            <w:pPr>
              <w:spacing w:line="240" w:lineRule="auto"/>
              <w:jc w:val="center"/>
              <w:rPr>
                <w:rFonts w:hint="eastAsia" w:ascii="宋体" w:hAnsi="宋体" w:eastAsia="宋体" w:cs="宋体"/>
                <w:sz w:val="24"/>
                <w:szCs w:val="24"/>
              </w:rPr>
            </w:pPr>
          </w:p>
        </w:tc>
        <w:tc>
          <w:tcPr>
            <w:tcW w:w="0" w:type="auto"/>
            <w:shd w:val="clear" w:color="auto" w:fill="auto"/>
            <w:noWrap/>
            <w:vAlign w:val="center"/>
          </w:tcPr>
          <w:p w14:paraId="40FE87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0" w:type="auto"/>
            <w:shd w:val="clear" w:color="auto" w:fill="auto"/>
            <w:vAlign w:val="center"/>
          </w:tcPr>
          <w:p w14:paraId="7FB3B4E5">
            <w:pPr>
              <w:spacing w:line="240" w:lineRule="auto"/>
              <w:rPr>
                <w:rFonts w:hint="eastAsia" w:ascii="宋体" w:hAnsi="宋体" w:eastAsia="宋体" w:cs="宋体"/>
                <w:sz w:val="24"/>
                <w:szCs w:val="24"/>
              </w:rPr>
            </w:pPr>
            <w:r>
              <w:rPr>
                <w:rFonts w:hint="eastAsia" w:ascii="宋体" w:hAnsi="宋体" w:eastAsia="宋体" w:cs="宋体"/>
                <w:sz w:val="24"/>
                <w:szCs w:val="24"/>
              </w:rPr>
              <w:t>8、满配冗余电源，24个万兆多模模块，2个40G多模模块，原厂3年质保。</w:t>
            </w:r>
          </w:p>
        </w:tc>
      </w:tr>
    </w:tbl>
    <w:p w14:paraId="4B3DB3E3">
      <w:pPr>
        <w:spacing w:line="240" w:lineRule="auto"/>
        <w:rPr>
          <w:b/>
          <w:bCs/>
          <w:sz w:val="32"/>
          <w:szCs w:val="32"/>
          <w:highlight w:val="none"/>
        </w:rPr>
      </w:pPr>
      <w:r>
        <w:rPr>
          <w:b/>
          <w:bCs/>
          <w:sz w:val="32"/>
          <w:szCs w:val="32"/>
          <w:highlight w:val="none"/>
        </w:rPr>
        <w:t>备注：重要程度中标注“</w:t>
      </w:r>
      <w:r>
        <w:rPr>
          <w:rFonts w:ascii="Segoe UI Symbol" w:hAnsi="Segoe UI Symbol" w:cs="Segoe UI Symbol"/>
          <w:b/>
          <w:bCs/>
          <w:sz w:val="32"/>
          <w:szCs w:val="32"/>
          <w:highlight w:val="none"/>
        </w:rPr>
        <w:t>★</w:t>
      </w:r>
      <w:r>
        <w:rPr>
          <w:b/>
          <w:bCs/>
          <w:sz w:val="32"/>
          <w:szCs w:val="32"/>
          <w:highlight w:val="none"/>
        </w:rPr>
        <w:t>”为实质性响应指标，如存在不满足或未响应投标无效；重要程度中标注“</w:t>
      </w:r>
      <w:r>
        <w:rPr>
          <w:rFonts w:ascii="Cambria Math" w:hAnsi="Cambria Math" w:cs="Cambria Math"/>
          <w:b/>
          <w:bCs/>
          <w:sz w:val="32"/>
          <w:szCs w:val="32"/>
          <w:highlight w:val="none"/>
        </w:rPr>
        <w:t>△</w:t>
      </w:r>
      <w:r>
        <w:rPr>
          <w:b/>
          <w:bCs/>
          <w:sz w:val="32"/>
          <w:szCs w:val="32"/>
          <w:highlight w:val="none"/>
        </w:rPr>
        <w:t>”为重要指标，如存在不满足或未响应扣分多；标注“一般”为次要指标，如存在不满足或未响应扣分少。</w:t>
      </w:r>
      <w:bookmarkStart w:id="2" w:name="_GoBack"/>
      <w:bookmarkEnd w:id="2"/>
    </w:p>
    <w:sectPr>
      <w:footerReference r:id="rId3" w:type="default"/>
      <w:pgSz w:w="16838" w:h="11906" w:orient="landscape"/>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B4D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95CF6">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E95CF6">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F95B3"/>
    <w:multiLevelType w:val="singleLevel"/>
    <w:tmpl w:val="45FF95B3"/>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YWFkODJjYjQ5YjQxZGZhZGNkOTgwZGM0ZmY2ZTUifQ=="/>
  </w:docVars>
  <w:rsids>
    <w:rsidRoot w:val="159A7B81"/>
    <w:rsid w:val="00156CDB"/>
    <w:rsid w:val="00160BA7"/>
    <w:rsid w:val="00163C40"/>
    <w:rsid w:val="001A1CB3"/>
    <w:rsid w:val="00227E2A"/>
    <w:rsid w:val="0024776A"/>
    <w:rsid w:val="00265FDC"/>
    <w:rsid w:val="00273898"/>
    <w:rsid w:val="002A2998"/>
    <w:rsid w:val="0035092D"/>
    <w:rsid w:val="003828ED"/>
    <w:rsid w:val="003833EC"/>
    <w:rsid w:val="00466DA2"/>
    <w:rsid w:val="00491BC0"/>
    <w:rsid w:val="004A597F"/>
    <w:rsid w:val="004D53B3"/>
    <w:rsid w:val="004E6590"/>
    <w:rsid w:val="00501FE3"/>
    <w:rsid w:val="00520771"/>
    <w:rsid w:val="005534F8"/>
    <w:rsid w:val="005560CB"/>
    <w:rsid w:val="00567423"/>
    <w:rsid w:val="00600FA4"/>
    <w:rsid w:val="00673468"/>
    <w:rsid w:val="0070587C"/>
    <w:rsid w:val="00745770"/>
    <w:rsid w:val="00771E90"/>
    <w:rsid w:val="00787097"/>
    <w:rsid w:val="007C695A"/>
    <w:rsid w:val="008443EF"/>
    <w:rsid w:val="008733BF"/>
    <w:rsid w:val="008864A1"/>
    <w:rsid w:val="00893687"/>
    <w:rsid w:val="00984AC6"/>
    <w:rsid w:val="009E540A"/>
    <w:rsid w:val="00A674DC"/>
    <w:rsid w:val="00A82C12"/>
    <w:rsid w:val="00AE17DC"/>
    <w:rsid w:val="00AF094D"/>
    <w:rsid w:val="00BB2E4B"/>
    <w:rsid w:val="00BC700E"/>
    <w:rsid w:val="00C11A1E"/>
    <w:rsid w:val="00C55E22"/>
    <w:rsid w:val="00C82B42"/>
    <w:rsid w:val="00C90A11"/>
    <w:rsid w:val="00C97409"/>
    <w:rsid w:val="00CA335C"/>
    <w:rsid w:val="00D04652"/>
    <w:rsid w:val="00D35CA6"/>
    <w:rsid w:val="00D44C84"/>
    <w:rsid w:val="00D540C5"/>
    <w:rsid w:val="00D62D24"/>
    <w:rsid w:val="00DF103A"/>
    <w:rsid w:val="00E41D85"/>
    <w:rsid w:val="00E52751"/>
    <w:rsid w:val="00E8285E"/>
    <w:rsid w:val="00EF76F6"/>
    <w:rsid w:val="00F82998"/>
    <w:rsid w:val="00F92BA2"/>
    <w:rsid w:val="00F93478"/>
    <w:rsid w:val="00FA3A01"/>
    <w:rsid w:val="00FB4547"/>
    <w:rsid w:val="00FD25C0"/>
    <w:rsid w:val="02ED6112"/>
    <w:rsid w:val="03457EAD"/>
    <w:rsid w:val="0405748B"/>
    <w:rsid w:val="0434636C"/>
    <w:rsid w:val="04B43833"/>
    <w:rsid w:val="050414F1"/>
    <w:rsid w:val="051A2CB0"/>
    <w:rsid w:val="0527671A"/>
    <w:rsid w:val="053E7F2B"/>
    <w:rsid w:val="05AF2D98"/>
    <w:rsid w:val="05FC05AF"/>
    <w:rsid w:val="064D44D9"/>
    <w:rsid w:val="07FB4E2D"/>
    <w:rsid w:val="0865674A"/>
    <w:rsid w:val="09854B7D"/>
    <w:rsid w:val="0AA54384"/>
    <w:rsid w:val="0B4B7890"/>
    <w:rsid w:val="0BD47E6F"/>
    <w:rsid w:val="0CED281A"/>
    <w:rsid w:val="0D031BD5"/>
    <w:rsid w:val="0D3155B2"/>
    <w:rsid w:val="0DA841F8"/>
    <w:rsid w:val="0DBA3094"/>
    <w:rsid w:val="10181BA3"/>
    <w:rsid w:val="10230DED"/>
    <w:rsid w:val="10466E61"/>
    <w:rsid w:val="104E062D"/>
    <w:rsid w:val="107E2A9F"/>
    <w:rsid w:val="10B860F0"/>
    <w:rsid w:val="1124702B"/>
    <w:rsid w:val="114E7ECE"/>
    <w:rsid w:val="11A3393F"/>
    <w:rsid w:val="11B83D8F"/>
    <w:rsid w:val="11F035D9"/>
    <w:rsid w:val="127E0B34"/>
    <w:rsid w:val="12905F07"/>
    <w:rsid w:val="13B50AAD"/>
    <w:rsid w:val="158E72E0"/>
    <w:rsid w:val="159A7B81"/>
    <w:rsid w:val="17457E73"/>
    <w:rsid w:val="178070FD"/>
    <w:rsid w:val="17A1277B"/>
    <w:rsid w:val="17B95DC7"/>
    <w:rsid w:val="18057602"/>
    <w:rsid w:val="18893D8F"/>
    <w:rsid w:val="18BD24E6"/>
    <w:rsid w:val="18CB43A7"/>
    <w:rsid w:val="191B601E"/>
    <w:rsid w:val="191C2E55"/>
    <w:rsid w:val="193E71E8"/>
    <w:rsid w:val="19F457D5"/>
    <w:rsid w:val="1A042E2A"/>
    <w:rsid w:val="1A13040E"/>
    <w:rsid w:val="1A205239"/>
    <w:rsid w:val="1AA83CCA"/>
    <w:rsid w:val="1B5468D6"/>
    <w:rsid w:val="1B9E2247"/>
    <w:rsid w:val="1BFB03AF"/>
    <w:rsid w:val="1C013BFF"/>
    <w:rsid w:val="1C966EA7"/>
    <w:rsid w:val="1D6304D5"/>
    <w:rsid w:val="1DDA3C52"/>
    <w:rsid w:val="1DEF0B38"/>
    <w:rsid w:val="1E2D565A"/>
    <w:rsid w:val="1FA1598F"/>
    <w:rsid w:val="202F7D90"/>
    <w:rsid w:val="20882FA7"/>
    <w:rsid w:val="20B93573"/>
    <w:rsid w:val="211A5376"/>
    <w:rsid w:val="215C4736"/>
    <w:rsid w:val="217334E8"/>
    <w:rsid w:val="21BC3427"/>
    <w:rsid w:val="22963DFA"/>
    <w:rsid w:val="231F5A1C"/>
    <w:rsid w:val="23387C66"/>
    <w:rsid w:val="23751C91"/>
    <w:rsid w:val="23CE4E09"/>
    <w:rsid w:val="24412DD6"/>
    <w:rsid w:val="244D0366"/>
    <w:rsid w:val="2489391A"/>
    <w:rsid w:val="24DE1906"/>
    <w:rsid w:val="2502066B"/>
    <w:rsid w:val="252217F3"/>
    <w:rsid w:val="25577936"/>
    <w:rsid w:val="257B5815"/>
    <w:rsid w:val="259F3EF0"/>
    <w:rsid w:val="26086C3B"/>
    <w:rsid w:val="26211AAB"/>
    <w:rsid w:val="2629095F"/>
    <w:rsid w:val="268B0D12"/>
    <w:rsid w:val="277645C8"/>
    <w:rsid w:val="27DB76A3"/>
    <w:rsid w:val="28076B60"/>
    <w:rsid w:val="288E1A8E"/>
    <w:rsid w:val="28A665A0"/>
    <w:rsid w:val="28D94A70"/>
    <w:rsid w:val="29097C97"/>
    <w:rsid w:val="296A05AA"/>
    <w:rsid w:val="296C63C0"/>
    <w:rsid w:val="2B98481C"/>
    <w:rsid w:val="2BB138D1"/>
    <w:rsid w:val="2C842D93"/>
    <w:rsid w:val="2CE3482B"/>
    <w:rsid w:val="2CF33A75"/>
    <w:rsid w:val="2D4C37A3"/>
    <w:rsid w:val="2DCE5813"/>
    <w:rsid w:val="2DE13333"/>
    <w:rsid w:val="2E9F2106"/>
    <w:rsid w:val="2EA414CB"/>
    <w:rsid w:val="2EED10C4"/>
    <w:rsid w:val="2F3365F5"/>
    <w:rsid w:val="2F701856"/>
    <w:rsid w:val="2F835E57"/>
    <w:rsid w:val="30134E77"/>
    <w:rsid w:val="30C46E40"/>
    <w:rsid w:val="31F83073"/>
    <w:rsid w:val="32AA2E28"/>
    <w:rsid w:val="32E2280B"/>
    <w:rsid w:val="33154745"/>
    <w:rsid w:val="33F56325"/>
    <w:rsid w:val="341E1D1F"/>
    <w:rsid w:val="351647A5"/>
    <w:rsid w:val="35A63D7A"/>
    <w:rsid w:val="35B86CF9"/>
    <w:rsid w:val="366C0B20"/>
    <w:rsid w:val="36E0354E"/>
    <w:rsid w:val="36E83F1F"/>
    <w:rsid w:val="373F554E"/>
    <w:rsid w:val="37824373"/>
    <w:rsid w:val="37841E99"/>
    <w:rsid w:val="37F0566B"/>
    <w:rsid w:val="384308AE"/>
    <w:rsid w:val="387719FE"/>
    <w:rsid w:val="38997BC6"/>
    <w:rsid w:val="3913392E"/>
    <w:rsid w:val="399A3BF6"/>
    <w:rsid w:val="39D441C7"/>
    <w:rsid w:val="3A866326"/>
    <w:rsid w:val="3B690EE6"/>
    <w:rsid w:val="3B7A357A"/>
    <w:rsid w:val="3CFC0322"/>
    <w:rsid w:val="3D70539A"/>
    <w:rsid w:val="3D7D7AB7"/>
    <w:rsid w:val="3E336EFB"/>
    <w:rsid w:val="3F5605BF"/>
    <w:rsid w:val="3F5B2EDB"/>
    <w:rsid w:val="3F9B4224"/>
    <w:rsid w:val="40D451AF"/>
    <w:rsid w:val="41BE41FA"/>
    <w:rsid w:val="41E50034"/>
    <w:rsid w:val="42607947"/>
    <w:rsid w:val="42870A90"/>
    <w:rsid w:val="42B23D5F"/>
    <w:rsid w:val="42B9333F"/>
    <w:rsid w:val="43AD2A9B"/>
    <w:rsid w:val="453E3FCF"/>
    <w:rsid w:val="455C6204"/>
    <w:rsid w:val="4681622F"/>
    <w:rsid w:val="47E56984"/>
    <w:rsid w:val="483153FC"/>
    <w:rsid w:val="48484C2C"/>
    <w:rsid w:val="48AC7653"/>
    <w:rsid w:val="48EE0733"/>
    <w:rsid w:val="49D02D72"/>
    <w:rsid w:val="49FE1F7F"/>
    <w:rsid w:val="4AE01685"/>
    <w:rsid w:val="4C0132BD"/>
    <w:rsid w:val="4C276527"/>
    <w:rsid w:val="4CB26487"/>
    <w:rsid w:val="4CFA6A2E"/>
    <w:rsid w:val="4E9A1CF4"/>
    <w:rsid w:val="4EA50C1B"/>
    <w:rsid w:val="4F64349E"/>
    <w:rsid w:val="4F995227"/>
    <w:rsid w:val="4FF94A3E"/>
    <w:rsid w:val="50702358"/>
    <w:rsid w:val="508C66AF"/>
    <w:rsid w:val="50962880"/>
    <w:rsid w:val="51FE5034"/>
    <w:rsid w:val="526B126F"/>
    <w:rsid w:val="5272350A"/>
    <w:rsid w:val="543E2737"/>
    <w:rsid w:val="547A48F8"/>
    <w:rsid w:val="556E5276"/>
    <w:rsid w:val="55BA579A"/>
    <w:rsid w:val="56F049FE"/>
    <w:rsid w:val="57DD745D"/>
    <w:rsid w:val="58767185"/>
    <w:rsid w:val="5AB972D7"/>
    <w:rsid w:val="5ADB4A39"/>
    <w:rsid w:val="5B3F5AE9"/>
    <w:rsid w:val="5BBC8143"/>
    <w:rsid w:val="5C7F0CFE"/>
    <w:rsid w:val="5DCA244C"/>
    <w:rsid w:val="5DEE34D7"/>
    <w:rsid w:val="5EA94BE9"/>
    <w:rsid w:val="5EC03708"/>
    <w:rsid w:val="5EEF2C87"/>
    <w:rsid w:val="5F742EBE"/>
    <w:rsid w:val="60961ADD"/>
    <w:rsid w:val="61887499"/>
    <w:rsid w:val="61A46B11"/>
    <w:rsid w:val="621921BB"/>
    <w:rsid w:val="62AE0A19"/>
    <w:rsid w:val="631D7FEF"/>
    <w:rsid w:val="631F6D97"/>
    <w:rsid w:val="641A70E5"/>
    <w:rsid w:val="64245C72"/>
    <w:rsid w:val="642E7958"/>
    <w:rsid w:val="646870C7"/>
    <w:rsid w:val="6493693E"/>
    <w:rsid w:val="64B94822"/>
    <w:rsid w:val="651641C9"/>
    <w:rsid w:val="667A685A"/>
    <w:rsid w:val="66851774"/>
    <w:rsid w:val="66C0619B"/>
    <w:rsid w:val="66EE25B0"/>
    <w:rsid w:val="67290D34"/>
    <w:rsid w:val="680B538A"/>
    <w:rsid w:val="6820704A"/>
    <w:rsid w:val="683055A2"/>
    <w:rsid w:val="688F051A"/>
    <w:rsid w:val="68B25FB7"/>
    <w:rsid w:val="68B97345"/>
    <w:rsid w:val="69AD4AF1"/>
    <w:rsid w:val="69E84260"/>
    <w:rsid w:val="69F36887"/>
    <w:rsid w:val="6A301889"/>
    <w:rsid w:val="6A7F24A0"/>
    <w:rsid w:val="6AF75B79"/>
    <w:rsid w:val="6B427AC6"/>
    <w:rsid w:val="6BB13536"/>
    <w:rsid w:val="6C6A2E33"/>
    <w:rsid w:val="6C931878"/>
    <w:rsid w:val="6DFB3F5C"/>
    <w:rsid w:val="6E9E1CC1"/>
    <w:rsid w:val="707C396D"/>
    <w:rsid w:val="70CA7819"/>
    <w:rsid w:val="714928E3"/>
    <w:rsid w:val="722D66AE"/>
    <w:rsid w:val="728536B8"/>
    <w:rsid w:val="735C2395"/>
    <w:rsid w:val="73760BD4"/>
    <w:rsid w:val="73826ED5"/>
    <w:rsid w:val="745C11D7"/>
    <w:rsid w:val="74732C9E"/>
    <w:rsid w:val="74E53270"/>
    <w:rsid w:val="751934D4"/>
    <w:rsid w:val="75EA5A0B"/>
    <w:rsid w:val="76DE3FD2"/>
    <w:rsid w:val="77B77146"/>
    <w:rsid w:val="77B82AB7"/>
    <w:rsid w:val="781543A3"/>
    <w:rsid w:val="78CC2102"/>
    <w:rsid w:val="7A0348C4"/>
    <w:rsid w:val="7A101788"/>
    <w:rsid w:val="7A9F47C8"/>
    <w:rsid w:val="7B315461"/>
    <w:rsid w:val="7B6E7231"/>
    <w:rsid w:val="7B7D983B"/>
    <w:rsid w:val="7BCB31C0"/>
    <w:rsid w:val="7CA314D5"/>
    <w:rsid w:val="7CB74578"/>
    <w:rsid w:val="7DEB2852"/>
    <w:rsid w:val="7EF83678"/>
    <w:rsid w:val="7FCD0EBD"/>
    <w:rsid w:val="7FD11D41"/>
    <w:rsid w:val="7FE72592"/>
    <w:rsid w:val="7FF7012D"/>
    <w:rsid w:val="CBB1C0AC"/>
    <w:rsid w:val="E2FCA901"/>
    <w:rsid w:val="FCAF8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center"/>
    </w:pPr>
    <w:rPr>
      <w:rFonts w:ascii="Times New Roman" w:hAnsi="Times New Roman" w:eastAsia="宋体" w:cs="Times New Roman"/>
      <w:szCs w:val="36"/>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annotation text"/>
    <w:basedOn w:val="1"/>
    <w:autoRedefine/>
    <w:qFormat/>
    <w:uiPriority w:val="0"/>
  </w:style>
  <w:style w:type="paragraph" w:styleId="5">
    <w:name w:val="Body Text Indent"/>
    <w:basedOn w:val="1"/>
    <w:next w:val="1"/>
    <w:autoRedefine/>
    <w:unhideWhenUsed/>
    <w:qFormat/>
    <w:uiPriority w:val="99"/>
    <w:pPr>
      <w:spacing w:after="120"/>
      <w:ind w:left="420" w:leftChars="200"/>
    </w:pPr>
  </w:style>
  <w:style w:type="paragraph" w:styleId="6">
    <w:name w:val="Plain Text"/>
    <w:basedOn w:val="1"/>
    <w:next w:val="1"/>
    <w:autoRedefine/>
    <w:qFormat/>
    <w:uiPriority w:val="0"/>
    <w:rPr>
      <w:rFonts w:ascii="宋体" w:hAnsi="Courier New"/>
    </w:r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5"/>
    <w:autoRedefine/>
    <w:qFormat/>
    <w:uiPriority w:val="0"/>
    <w:pPr>
      <w:tabs>
        <w:tab w:val="left" w:pos="720"/>
      </w:tabs>
      <w:spacing w:after="0"/>
      <w:ind w:left="0" w:leftChars="0" w:firstLine="720"/>
    </w:pPr>
    <w:rPr>
      <w:sz w:val="32"/>
      <w:szCs w:val="20"/>
    </w:rPr>
  </w:style>
  <w:style w:type="character" w:styleId="13">
    <w:name w:val="page number"/>
    <w:autoRedefine/>
    <w:qFormat/>
    <w:uiPriority w:val="0"/>
  </w:style>
  <w:style w:type="character" w:customStyle="1" w:styleId="14">
    <w:name w:val="NormalCharacter"/>
    <w:autoRedefine/>
    <w:qFormat/>
    <w:uiPriority w:val="0"/>
  </w:style>
  <w:style w:type="paragraph" w:styleId="15">
    <w:name w:val="List Paragraph"/>
    <w:basedOn w:val="1"/>
    <w:autoRedefine/>
    <w:qFormat/>
    <w:uiPriority w:val="34"/>
    <w:pPr>
      <w:ind w:firstLine="420" w:firstLineChars="200"/>
    </w:pPr>
  </w:style>
  <w:style w:type="paragraph" w:customStyle="1" w:styleId="16">
    <w:name w:val="Other|1"/>
    <w:basedOn w:val="1"/>
    <w:autoRedefine/>
    <w:qFormat/>
    <w:uiPriority w:val="0"/>
    <w:pPr>
      <w:widowControl w:val="0"/>
      <w:spacing w:line="410" w:lineRule="auto"/>
      <w:ind w:firstLine="400"/>
    </w:pPr>
    <w:rPr>
      <w:rFonts w:ascii="宋体" w:hAnsi="宋体" w:cs="宋体"/>
      <w:color w:val="000000"/>
      <w:sz w:val="30"/>
      <w:szCs w:val="30"/>
      <w:lang w:val="zh-TW" w:eastAsia="zh-TW" w:bidi="zh-TW"/>
    </w:rPr>
  </w:style>
  <w:style w:type="character" w:customStyle="1" w:styleId="17">
    <w:name w:val="批注框文本 字符"/>
    <w:basedOn w:val="12"/>
    <w:link w:val="7"/>
    <w:autoRedefine/>
    <w:qFormat/>
    <w:uiPriority w:val="0"/>
    <w:rPr>
      <w:rFonts w:ascii="Times New Roman" w:hAnsi="Times New Roman" w:eastAsia="宋体" w:cs="Times New Roman"/>
      <w:sz w:val="18"/>
      <w:szCs w:val="18"/>
    </w:rPr>
  </w:style>
  <w:style w:type="paragraph" w:customStyle="1" w:styleId="18">
    <w:name w:val="Body text|1"/>
    <w:basedOn w:val="1"/>
    <w:autoRedefine/>
    <w:qFormat/>
    <w:uiPriority w:val="0"/>
    <w:pPr>
      <w:widowControl w:val="0"/>
      <w:spacing w:line="410" w:lineRule="auto"/>
      <w:ind w:firstLine="400"/>
    </w:pPr>
    <w:rPr>
      <w:rFonts w:ascii="宋体" w:hAnsi="宋体" w:cs="宋体"/>
      <w:color w:val="000000"/>
      <w:sz w:val="30"/>
      <w:szCs w:val="30"/>
      <w:lang w:val="zh-TW" w:eastAsia="zh-TW" w:bidi="zh-TW"/>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Revision"/>
    <w:hidden/>
    <w:semiHidden/>
    <w:uiPriority w:val="99"/>
    <w:rPr>
      <w:rFonts w:ascii="Times New Roman" w:hAnsi="Times New Roman" w:eastAsia="宋体" w:cs="Times New Roman"/>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4C643-E987-414E-A4D9-4842A30EEA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1826</Words>
  <Characters>1940</Characters>
  <Lines>12</Lines>
  <Paragraphs>10</Paragraphs>
  <TotalTime>4</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2025-03-27T08:24:00Z</dcterms:created>
  <dc:creator>新新向荣</dc:creator>
  <cp:lastModifiedBy>新新向荣</cp:lastModifiedBy>
  <dcterms:modified xsi:type="dcterms:W3CDTF">2025-04-07T01:42:50Z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A86BE2BCB9A0B4C4062AD06767EED219_43</vt:lpwstr>
  </property>
  <property fmtid="{D5CDD505-2E9C-101B-9397-08002B2CF9AE}" pid="4" name="KSOTemplateDocerSaveRecord">
    <vt:lpwstr>eyJoZGlkIjoiYzNjN2RhZDFkOTEyZDJlODk2YjczMTg2ZTFhNjM1NWEiLCJ1c2VySWQiOiI1MjkwNTM2NTYifQ==</vt:lpwstr>
  </property>
</Properties>
</file>