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0DC7B">
      <w:pPr>
        <w:widowControl w:val="0"/>
        <w:overflowPunct w:val="0"/>
        <w:spacing w:line="360" w:lineRule="auto"/>
        <w:jc w:val="center"/>
        <w:textAlignment w:val="auto"/>
        <w:rPr>
          <w:rFonts w:hint="eastAsia" w:ascii="宋体" w:hAnsi="宋体" w:eastAsia="宋体" w:cs="宋体"/>
          <w:b/>
          <w:bCs/>
          <w:color w:val="auto"/>
          <w:spacing w:val="20"/>
          <w:sz w:val="40"/>
          <w:szCs w:val="40"/>
          <w:highlight w:val="none"/>
        </w:rPr>
      </w:pPr>
      <w:r>
        <w:rPr>
          <w:rFonts w:hint="eastAsia" w:ascii="宋体" w:hAnsi="宋体" w:eastAsia="宋体" w:cs="宋体"/>
          <w:b/>
          <w:bCs/>
          <w:color w:val="auto"/>
          <w:spacing w:val="20"/>
          <w:sz w:val="40"/>
          <w:szCs w:val="40"/>
          <w:highlight w:val="none"/>
        </w:rPr>
        <w:t>山东师范大学招标采购项目需求公示表</w:t>
      </w:r>
    </w:p>
    <w:p w14:paraId="1B47094B">
      <w:pP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编号:</w:t>
      </w:r>
      <w:r>
        <w:rPr>
          <w:rFonts w:hint="eastAsia" w:ascii="宋体" w:hAnsi="宋体" w:eastAsia="宋体" w:cs="宋体"/>
          <w:b/>
          <w:color w:val="auto"/>
          <w:sz w:val="24"/>
          <w:szCs w:val="24"/>
          <w:highlight w:val="none"/>
          <w:lang w:eastAsia="zh-CN"/>
        </w:rPr>
        <w:t>SDSL-202</w:t>
      </w:r>
      <w:r>
        <w:rPr>
          <w:rFonts w:hint="eastAsia" w:ascii="宋体" w:hAnsi="宋体" w:eastAsia="宋体" w:cs="宋体"/>
          <w:b/>
          <w:color w:val="auto"/>
          <w:sz w:val="24"/>
          <w:szCs w:val="24"/>
          <w:highlight w:val="none"/>
          <w:lang w:val="en-US" w:eastAsia="zh-CN"/>
        </w:rPr>
        <w:t>6-144</w:t>
      </w:r>
    </w:p>
    <w:tbl>
      <w:tblPr>
        <w:tblStyle w:val="9"/>
        <w:tblW w:w="13812"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61"/>
        <w:gridCol w:w="2584"/>
        <w:gridCol w:w="1119"/>
        <w:gridCol w:w="1827"/>
        <w:gridCol w:w="2126"/>
        <w:gridCol w:w="2605"/>
        <w:gridCol w:w="2790"/>
      </w:tblGrid>
      <w:tr w14:paraId="13C9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13812" w:type="dxa"/>
            <w:gridSpan w:val="7"/>
            <w:shd w:val="clear" w:color="auto" w:fill="FFFFFF"/>
            <w:vAlign w:val="center"/>
          </w:tcPr>
          <w:p w14:paraId="0F3C34FA">
            <w:pPr>
              <w:pStyle w:val="20"/>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8"/>
                <w:szCs w:val="28"/>
                <w:highlight w:val="none"/>
              </w:rPr>
              <w:t>基本情况</w:t>
            </w:r>
          </w:p>
        </w:tc>
      </w:tr>
      <w:tr w14:paraId="7371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3345" w:type="dxa"/>
            <w:gridSpan w:val="2"/>
            <w:shd w:val="clear" w:color="auto" w:fill="FFFFFF"/>
            <w:vAlign w:val="center"/>
          </w:tcPr>
          <w:p w14:paraId="230B2D39">
            <w:pPr>
              <w:pStyle w:val="21"/>
              <w:keepNext w:val="0"/>
              <w:keepLines w:val="0"/>
              <w:pageBreakBefore w:val="0"/>
              <w:kinsoku/>
              <w:wordWrap/>
              <w:overflowPunct/>
              <w:topLinePunct w:val="0"/>
              <w:autoSpaceDE/>
              <w:autoSpaceDN/>
              <w:bidi w:val="0"/>
              <w:adjustRightInd/>
              <w:snapToGrid/>
              <w:spacing w:line="360" w:lineRule="exact"/>
              <w:ind w:left="0" w:leftChars="0" w:firstLine="0" w:firstLineChars="0"/>
              <w:textAlignment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项目名称</w:t>
            </w:r>
          </w:p>
        </w:tc>
        <w:tc>
          <w:tcPr>
            <w:tcW w:w="10467" w:type="dxa"/>
            <w:gridSpan w:val="5"/>
            <w:shd w:val="clear" w:color="auto" w:fill="FFFFFF"/>
            <w:vAlign w:val="center"/>
          </w:tcPr>
          <w:p w14:paraId="7ED2AE2F">
            <w:pPr>
              <w:pStyle w:val="21"/>
              <w:overflowPunct w:val="0"/>
              <w:spacing w:line="400" w:lineRule="exact"/>
              <w:ind w:firstLine="0" w:firstLineChars="0"/>
              <w:jc w:val="both"/>
              <w:rPr>
                <w:rFonts w:hint="eastAsia" w:ascii="宋体" w:hAnsi="宋体" w:eastAsia="宋体" w:cs="宋体"/>
                <w:color w:val="auto"/>
                <w:sz w:val="24"/>
                <w:szCs w:val="24"/>
                <w:highlight w:val="none"/>
                <w:lang w:eastAsia="zh-CN"/>
              </w:rPr>
            </w:pPr>
            <w:r>
              <w:rPr>
                <w:rFonts w:hint="eastAsia"/>
                <w:bCs/>
                <w:color w:val="auto"/>
                <w:sz w:val="24"/>
                <w:highlight w:val="none"/>
                <w:lang w:eastAsia="zh-CN"/>
              </w:rPr>
              <w:t>山东师范大学2026年国际教育学院数智化语言实训室设备采购项目（一）</w:t>
            </w:r>
          </w:p>
        </w:tc>
      </w:tr>
      <w:tr w14:paraId="2BA1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3345" w:type="dxa"/>
            <w:gridSpan w:val="2"/>
            <w:shd w:val="clear" w:color="auto" w:fill="FFFFFF"/>
            <w:vAlign w:val="center"/>
          </w:tcPr>
          <w:p w14:paraId="584CF049">
            <w:pPr>
              <w:pStyle w:val="21"/>
              <w:keepNext w:val="0"/>
              <w:keepLines w:val="0"/>
              <w:pageBreakBefore w:val="0"/>
              <w:kinsoku/>
              <w:wordWrap/>
              <w:overflowPunct/>
              <w:topLinePunct w:val="0"/>
              <w:autoSpaceDE/>
              <w:autoSpaceDN/>
              <w:bidi w:val="0"/>
              <w:adjustRightInd/>
              <w:snapToGrid/>
              <w:spacing w:line="360" w:lineRule="exact"/>
              <w:ind w:left="0" w:leftChars="0" w:firstLine="0" w:firstLineChars="0"/>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项目主管单位</w:t>
            </w:r>
          </w:p>
        </w:tc>
        <w:tc>
          <w:tcPr>
            <w:tcW w:w="10467" w:type="dxa"/>
            <w:gridSpan w:val="5"/>
            <w:shd w:val="clear" w:color="auto" w:fill="FFFFFF"/>
            <w:vAlign w:val="center"/>
          </w:tcPr>
          <w:p w14:paraId="1AAAF5B7">
            <w:pPr>
              <w:pStyle w:val="21"/>
              <w:overflowPunct w:val="0"/>
              <w:spacing w:line="400" w:lineRule="exact"/>
              <w:ind w:firstLine="0" w:firstLineChars="0"/>
              <w:jc w:val="both"/>
              <w:rPr>
                <w:rFonts w:hint="eastAsia" w:ascii="宋体" w:hAnsi="宋体" w:eastAsia="宋体" w:cs="宋体"/>
                <w:color w:val="auto"/>
                <w:sz w:val="24"/>
                <w:szCs w:val="24"/>
                <w:highlight w:val="none"/>
                <w:lang w:eastAsia="zh-CN"/>
              </w:rPr>
            </w:pPr>
            <w:r>
              <w:rPr>
                <w:rFonts w:hint="eastAsia"/>
                <w:bCs/>
                <w:color w:val="auto"/>
                <w:sz w:val="24"/>
                <w:highlight w:val="none"/>
                <w:lang w:eastAsia="zh-CN"/>
              </w:rPr>
              <w:t>国际教育学院</w:t>
            </w:r>
          </w:p>
        </w:tc>
      </w:tr>
      <w:tr w14:paraId="2F31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3345" w:type="dxa"/>
            <w:gridSpan w:val="2"/>
            <w:shd w:val="clear" w:color="auto" w:fill="FFFFFF"/>
            <w:vAlign w:val="center"/>
          </w:tcPr>
          <w:p w14:paraId="627F65E3">
            <w:pPr>
              <w:pStyle w:val="21"/>
              <w:keepNext w:val="0"/>
              <w:keepLines w:val="0"/>
              <w:pageBreakBefore w:val="0"/>
              <w:kinsoku/>
              <w:wordWrap/>
              <w:overflowPunct/>
              <w:topLinePunct w:val="0"/>
              <w:autoSpaceDE/>
              <w:autoSpaceDN/>
              <w:bidi w:val="0"/>
              <w:adjustRightInd/>
              <w:snapToGrid/>
              <w:spacing w:line="360" w:lineRule="exact"/>
              <w:ind w:left="0" w:leftChars="0" w:firstLine="0" w:firstLineChars="0"/>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第三方咨询服务单位</w:t>
            </w:r>
          </w:p>
        </w:tc>
        <w:tc>
          <w:tcPr>
            <w:tcW w:w="10467" w:type="dxa"/>
            <w:gridSpan w:val="5"/>
            <w:shd w:val="clear" w:color="auto" w:fill="FFFFFF"/>
            <w:vAlign w:val="center"/>
          </w:tcPr>
          <w:p w14:paraId="4C7492D3">
            <w:pPr>
              <w:pStyle w:val="21"/>
              <w:overflowPunct w:val="0"/>
              <w:spacing w:line="400" w:lineRule="exact"/>
              <w:ind w:firstLine="0" w:firstLineChars="0"/>
              <w:jc w:val="both"/>
              <w:rPr>
                <w:rFonts w:hint="eastAsia" w:ascii="宋体" w:hAnsi="宋体" w:eastAsia="宋体" w:cs="宋体"/>
                <w:color w:val="auto"/>
                <w:sz w:val="24"/>
                <w:szCs w:val="24"/>
                <w:highlight w:val="none"/>
              </w:rPr>
            </w:pPr>
            <w:r>
              <w:rPr>
                <w:bCs/>
                <w:color w:val="auto"/>
                <w:sz w:val="24"/>
                <w:highlight w:val="none"/>
              </w:rPr>
              <w:t>山东善立招标有限公司</w:t>
            </w:r>
          </w:p>
        </w:tc>
      </w:tr>
      <w:tr w14:paraId="44B5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13812" w:type="dxa"/>
            <w:gridSpan w:val="7"/>
            <w:shd w:val="clear" w:color="auto" w:fill="FFFFFF"/>
            <w:vAlign w:val="center"/>
          </w:tcPr>
          <w:p w14:paraId="1B4517FB">
            <w:pPr>
              <w:pStyle w:val="21"/>
              <w:keepNext w:val="0"/>
              <w:keepLines w:val="0"/>
              <w:pageBreakBefore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color w:val="auto"/>
                <w:sz w:val="24"/>
                <w:szCs w:val="24"/>
                <w:highlight w:val="none"/>
                <w:lang w:val="en-US" w:bidi="en-US"/>
              </w:rPr>
            </w:pPr>
            <w:r>
              <w:rPr>
                <w:rFonts w:hint="eastAsia" w:ascii="宋体" w:hAnsi="宋体" w:eastAsia="宋体" w:cs="宋体"/>
                <w:b/>
                <w:bCs/>
                <w:color w:val="auto"/>
                <w:sz w:val="28"/>
                <w:szCs w:val="28"/>
                <w:highlight w:val="none"/>
              </w:rPr>
              <w:t>项目信息</w:t>
            </w:r>
          </w:p>
        </w:tc>
      </w:tr>
      <w:tr w14:paraId="787B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761" w:type="dxa"/>
            <w:shd w:val="clear" w:color="auto" w:fill="FFFFFF"/>
            <w:vAlign w:val="center"/>
          </w:tcPr>
          <w:p w14:paraId="096D39B9">
            <w:pPr>
              <w:pStyle w:val="20"/>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包号</w:t>
            </w:r>
          </w:p>
        </w:tc>
        <w:tc>
          <w:tcPr>
            <w:tcW w:w="2584" w:type="dxa"/>
            <w:shd w:val="clear" w:color="auto" w:fill="FFFFFF"/>
            <w:vAlign w:val="center"/>
          </w:tcPr>
          <w:p w14:paraId="3E4C30D2">
            <w:pPr>
              <w:pStyle w:val="20"/>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标的名称</w:t>
            </w:r>
          </w:p>
        </w:tc>
        <w:tc>
          <w:tcPr>
            <w:tcW w:w="1119" w:type="dxa"/>
            <w:shd w:val="clear" w:color="auto" w:fill="FFFFFF"/>
            <w:vAlign w:val="center"/>
          </w:tcPr>
          <w:p w14:paraId="0BF9AE20">
            <w:pPr>
              <w:pStyle w:val="20"/>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1827" w:type="dxa"/>
            <w:shd w:val="clear" w:color="auto" w:fill="FFFFFF"/>
            <w:vAlign w:val="center"/>
          </w:tcPr>
          <w:p w14:paraId="0499C032">
            <w:pPr>
              <w:pStyle w:val="20"/>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w:t>
            </w:r>
            <w:r>
              <w:rPr>
                <w:rFonts w:hint="eastAsia" w:ascii="宋体" w:hAnsi="宋体" w:eastAsia="宋体" w:cs="宋体"/>
                <w:b/>
                <w:bCs/>
                <w:color w:val="auto"/>
                <w:sz w:val="24"/>
                <w:szCs w:val="24"/>
                <w:highlight w:val="none"/>
                <w:lang w:val="en-US" w:eastAsia="zh-CN"/>
              </w:rPr>
              <w:t>允许</w:t>
            </w:r>
            <w:r>
              <w:rPr>
                <w:rFonts w:hint="eastAsia" w:ascii="宋体" w:hAnsi="宋体" w:eastAsia="宋体" w:cs="宋体"/>
                <w:b/>
                <w:bCs/>
                <w:color w:val="auto"/>
                <w:sz w:val="24"/>
                <w:szCs w:val="24"/>
                <w:highlight w:val="none"/>
              </w:rPr>
              <w:t>进口</w:t>
            </w:r>
          </w:p>
        </w:tc>
        <w:tc>
          <w:tcPr>
            <w:tcW w:w="2126" w:type="dxa"/>
            <w:shd w:val="clear" w:color="auto" w:fill="FFFFFF"/>
            <w:vAlign w:val="center"/>
          </w:tcPr>
          <w:p w14:paraId="4E53281B">
            <w:pPr>
              <w:pStyle w:val="20"/>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是否创新产品</w:t>
            </w:r>
          </w:p>
        </w:tc>
        <w:tc>
          <w:tcPr>
            <w:tcW w:w="2605" w:type="dxa"/>
            <w:shd w:val="clear" w:color="auto" w:fill="FFFFFF"/>
            <w:vAlign w:val="center"/>
          </w:tcPr>
          <w:p w14:paraId="6736731E">
            <w:pPr>
              <w:pStyle w:val="20"/>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是否专门面向中小微或预留份额</w:t>
            </w:r>
          </w:p>
        </w:tc>
        <w:tc>
          <w:tcPr>
            <w:tcW w:w="2790" w:type="dxa"/>
            <w:shd w:val="clear" w:color="auto" w:fill="FFFFFF"/>
            <w:vAlign w:val="center"/>
          </w:tcPr>
          <w:p w14:paraId="0D72643B">
            <w:pPr>
              <w:pStyle w:val="20"/>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预算金额（最高限价）</w:t>
            </w:r>
          </w:p>
        </w:tc>
      </w:tr>
      <w:tr w14:paraId="1022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5" w:hRule="atLeast"/>
        </w:trPr>
        <w:tc>
          <w:tcPr>
            <w:tcW w:w="761" w:type="dxa"/>
            <w:shd w:val="clear" w:color="auto" w:fill="FFFFFF"/>
            <w:vAlign w:val="center"/>
          </w:tcPr>
          <w:p w14:paraId="4E0DA656">
            <w:pPr>
              <w:keepNext w:val="0"/>
              <w:keepLines w:val="0"/>
              <w:pageBreakBefore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2584" w:type="dxa"/>
            <w:shd w:val="clear" w:color="auto" w:fill="FFFFFF"/>
            <w:vAlign w:val="center"/>
          </w:tcPr>
          <w:p w14:paraId="4C003AFE">
            <w:pPr>
              <w:pStyle w:val="21"/>
              <w:overflowPunct w:val="0"/>
              <w:spacing w:line="400" w:lineRule="exact"/>
              <w:ind w:firstLine="0" w:firstLineChars="0"/>
              <w:jc w:val="both"/>
              <w:rPr>
                <w:rFonts w:hint="eastAsia" w:ascii="宋体" w:hAnsi="宋体" w:eastAsia="宋体" w:cs="宋体"/>
                <w:bCs/>
                <w:color w:val="auto"/>
                <w:sz w:val="24"/>
                <w:highlight w:val="none"/>
              </w:rPr>
            </w:pPr>
            <w:r>
              <w:rPr>
                <w:rFonts w:hint="eastAsia"/>
                <w:bCs/>
                <w:color w:val="auto"/>
                <w:sz w:val="24"/>
                <w:highlight w:val="none"/>
                <w:lang w:eastAsia="zh-CN"/>
              </w:rPr>
              <w:t>数智化语言实训室设备</w:t>
            </w:r>
          </w:p>
        </w:tc>
        <w:tc>
          <w:tcPr>
            <w:tcW w:w="1119" w:type="dxa"/>
            <w:shd w:val="clear" w:color="auto" w:fill="FFFFFF"/>
            <w:vAlign w:val="center"/>
          </w:tcPr>
          <w:p w14:paraId="031A16C6">
            <w:pPr>
              <w:widowControl/>
              <w:jc w:val="center"/>
              <w:textAlignment w:val="center"/>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1宗</w:t>
            </w:r>
          </w:p>
        </w:tc>
        <w:tc>
          <w:tcPr>
            <w:tcW w:w="1827" w:type="dxa"/>
            <w:shd w:val="clear" w:color="auto" w:fill="FFFFFF"/>
            <w:vAlign w:val="center"/>
          </w:tcPr>
          <w:p w14:paraId="39D7EC0B">
            <w:pPr>
              <w:widowControl/>
              <w:jc w:val="center"/>
              <w:textAlignment w:val="center"/>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否</w:t>
            </w:r>
          </w:p>
        </w:tc>
        <w:tc>
          <w:tcPr>
            <w:tcW w:w="2126" w:type="dxa"/>
            <w:shd w:val="clear" w:color="auto" w:fill="FFFFFF"/>
            <w:vAlign w:val="center"/>
          </w:tcPr>
          <w:p w14:paraId="3B7F79D0">
            <w:pPr>
              <w:widowControl/>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val="en-US" w:eastAsia="zh-CN" w:bidi="ar"/>
              </w:rPr>
              <w:t>否</w:t>
            </w:r>
          </w:p>
        </w:tc>
        <w:tc>
          <w:tcPr>
            <w:tcW w:w="2605" w:type="dxa"/>
            <w:shd w:val="clear" w:color="auto" w:fill="FFFFFF"/>
            <w:vAlign w:val="center"/>
          </w:tcPr>
          <w:p w14:paraId="135BD399">
            <w:pPr>
              <w:widowControl/>
              <w:jc w:val="center"/>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否</w:t>
            </w:r>
          </w:p>
        </w:tc>
        <w:tc>
          <w:tcPr>
            <w:tcW w:w="2790" w:type="dxa"/>
            <w:shd w:val="clear" w:color="auto" w:fill="FFFFFF"/>
            <w:vAlign w:val="center"/>
          </w:tcPr>
          <w:p w14:paraId="49CEDC25">
            <w:pPr>
              <w:widowControl/>
              <w:jc w:val="center"/>
              <w:textAlignment w:val="center"/>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168.23万元</w:t>
            </w:r>
          </w:p>
        </w:tc>
      </w:tr>
      <w:tr w14:paraId="3095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13812" w:type="dxa"/>
            <w:gridSpan w:val="7"/>
            <w:shd w:val="clear" w:color="auto" w:fill="FFFFFF"/>
            <w:vAlign w:val="center"/>
          </w:tcPr>
          <w:p w14:paraId="2F1E1846">
            <w:pPr>
              <w:keepNext w:val="0"/>
              <w:keepLines w:val="0"/>
              <w:pageBreakBefore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auto"/>
                <w:sz w:val="24"/>
                <w:szCs w:val="24"/>
                <w:highlight w:val="none"/>
              </w:rPr>
            </w:pPr>
            <w:r>
              <w:rPr>
                <w:rFonts w:hint="eastAsia" w:ascii="宋体" w:hAnsi="宋体" w:eastAsia="宋体" w:cs="宋体"/>
                <w:b/>
                <w:bCs/>
                <w:color w:val="auto"/>
                <w:sz w:val="28"/>
                <w:szCs w:val="28"/>
                <w:highlight w:val="none"/>
                <w:lang w:val="zh-TW" w:eastAsia="zh-TW" w:bidi="zh-TW"/>
              </w:rPr>
              <w:t>需求</w:t>
            </w:r>
            <w:r>
              <w:rPr>
                <w:rFonts w:hint="eastAsia" w:ascii="宋体" w:hAnsi="宋体" w:eastAsia="宋体" w:cs="宋体"/>
                <w:b/>
                <w:bCs/>
                <w:color w:val="auto"/>
                <w:sz w:val="28"/>
                <w:szCs w:val="28"/>
                <w:highlight w:val="none"/>
                <w:lang w:val="zh-TW" w:bidi="zh-TW"/>
              </w:rPr>
              <w:t>描述</w:t>
            </w:r>
          </w:p>
        </w:tc>
      </w:tr>
      <w:tr w14:paraId="2CDF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3345" w:type="dxa"/>
            <w:gridSpan w:val="2"/>
            <w:shd w:val="clear" w:color="auto" w:fill="FFFFFF"/>
            <w:vAlign w:val="center"/>
          </w:tcPr>
          <w:p w14:paraId="04AA0036">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技术要求</w:t>
            </w:r>
          </w:p>
        </w:tc>
        <w:tc>
          <w:tcPr>
            <w:tcW w:w="10467" w:type="dxa"/>
            <w:gridSpan w:val="5"/>
            <w:shd w:val="clear" w:color="auto" w:fill="FFFFFF"/>
            <w:vAlign w:val="center"/>
          </w:tcPr>
          <w:p w14:paraId="08D6D5E3">
            <w:pPr>
              <w:pStyle w:val="3"/>
              <w:spacing w:line="360" w:lineRule="auto"/>
              <w:ind w:left="0" w:leftChars="0"/>
              <w:rPr>
                <w:rFonts w:hint="eastAsia" w:ascii="宋体" w:hAnsi="宋体" w:eastAsia="宋体" w:cs="宋体"/>
                <w:b/>
                <w:bCs/>
                <w:color w:val="auto"/>
                <w:sz w:val="24"/>
                <w:szCs w:val="24"/>
                <w:highlight w:val="none"/>
                <w:lang w:val="zh-CN" w:eastAsia="zh-CN" w:bidi="ar-SA"/>
              </w:rPr>
            </w:pPr>
            <w:r>
              <w:rPr>
                <w:rFonts w:hint="eastAsia" w:ascii="宋体" w:hAnsi="宋体" w:eastAsia="宋体" w:cs="宋体"/>
                <w:b/>
                <w:bCs/>
                <w:color w:val="auto"/>
                <w:sz w:val="24"/>
                <w:szCs w:val="24"/>
                <w:highlight w:val="none"/>
                <w:lang w:val="zh-CN" w:eastAsia="zh-CN" w:bidi="ar-SA"/>
              </w:rPr>
              <w:t>一、项目概况</w:t>
            </w:r>
          </w:p>
          <w:p w14:paraId="34D816C5">
            <w:pPr>
              <w:spacing w:line="360" w:lineRule="auto"/>
              <w:rPr>
                <w:rFonts w:hint="eastAsia" w:ascii="宋体" w:hAnsi="宋体" w:eastAsia="宋体" w:cs="宋体"/>
                <w:iCs/>
                <w:color w:val="auto"/>
                <w:sz w:val="24"/>
                <w:szCs w:val="24"/>
                <w:highlight w:val="none"/>
                <w:lang w:val="zh-CN"/>
              </w:rPr>
            </w:pPr>
            <w:r>
              <w:rPr>
                <w:rFonts w:hint="eastAsia" w:ascii="宋体" w:hAnsi="宋体" w:eastAsia="宋体" w:cs="宋体"/>
                <w:iCs/>
                <w:color w:val="auto"/>
                <w:sz w:val="24"/>
                <w:szCs w:val="24"/>
                <w:highlight w:val="none"/>
                <w:lang w:val="zh-CN"/>
              </w:rPr>
              <w:t>本项目为山东师范大学2026年国际教育学院数智化语言实训室设备采购项目（一），</w:t>
            </w:r>
            <w:r>
              <w:rPr>
                <w:rFonts w:hint="eastAsia" w:ascii="宋体" w:hAnsi="宋体" w:eastAsia="宋体" w:cs="宋体"/>
                <w:iCs/>
                <w:color w:val="auto"/>
                <w:sz w:val="24"/>
                <w:szCs w:val="24"/>
                <w:highlight w:val="none"/>
                <w:lang w:val="en-US" w:eastAsia="zh-CN"/>
              </w:rPr>
              <w:t>总</w:t>
            </w:r>
            <w:r>
              <w:rPr>
                <w:rFonts w:hint="eastAsia" w:ascii="宋体" w:hAnsi="宋体" w:eastAsia="宋体" w:cs="宋体"/>
                <w:iCs/>
                <w:color w:val="auto"/>
                <w:sz w:val="24"/>
                <w:szCs w:val="24"/>
                <w:highlight w:val="none"/>
                <w:lang w:val="zh-CN"/>
              </w:rPr>
              <w:t>预算</w:t>
            </w:r>
            <w:r>
              <w:rPr>
                <w:rFonts w:hint="eastAsia" w:ascii="宋体" w:hAnsi="宋体" w:eastAsia="宋体" w:cs="宋体"/>
                <w:b w:val="0"/>
                <w:bCs w:val="0"/>
                <w:color w:val="auto"/>
                <w:kern w:val="0"/>
                <w:sz w:val="24"/>
                <w:szCs w:val="24"/>
                <w:highlight w:val="none"/>
                <w:lang w:val="en-US" w:eastAsia="zh-CN" w:bidi="ar"/>
              </w:rPr>
              <w:t>168.23</w:t>
            </w:r>
            <w:r>
              <w:rPr>
                <w:rFonts w:hint="eastAsia" w:ascii="宋体" w:hAnsi="宋体" w:eastAsia="宋体" w:cs="宋体"/>
                <w:color w:val="auto"/>
                <w:sz w:val="24"/>
                <w:szCs w:val="24"/>
                <w:highlight w:val="none"/>
                <w:lang w:val="en-US" w:eastAsia="zh-CN"/>
              </w:rPr>
              <w:t>万元</w:t>
            </w:r>
            <w:r>
              <w:rPr>
                <w:rFonts w:hint="eastAsia" w:ascii="宋体" w:hAnsi="宋体" w:eastAsia="宋体" w:cs="宋体"/>
                <w:iCs/>
                <w:color w:val="auto"/>
                <w:sz w:val="24"/>
                <w:szCs w:val="24"/>
                <w:highlight w:val="none"/>
                <w:lang w:val="zh-CN"/>
              </w:rPr>
              <w:t>。</w:t>
            </w:r>
          </w:p>
          <w:p w14:paraId="60EE4AF9">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zh-CN"/>
              </w:rPr>
              <w:t>二、技术要求</w:t>
            </w:r>
            <w:r>
              <w:rPr>
                <w:rFonts w:hint="eastAsia" w:ascii="宋体" w:hAnsi="宋体" w:eastAsia="宋体" w:cs="宋体"/>
                <w:b/>
                <w:bCs/>
                <w:color w:val="auto"/>
                <w:sz w:val="24"/>
                <w:szCs w:val="24"/>
                <w:highlight w:val="none"/>
              </w:rPr>
              <w:t xml:space="preserve"> </w:t>
            </w:r>
          </w:p>
          <w:p w14:paraId="30BF104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详见附件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详细技术要求。</w:t>
            </w:r>
          </w:p>
        </w:tc>
      </w:tr>
      <w:tr w14:paraId="79D8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3345" w:type="dxa"/>
            <w:gridSpan w:val="2"/>
            <w:shd w:val="clear" w:color="auto" w:fill="FFFFFF"/>
            <w:vAlign w:val="center"/>
          </w:tcPr>
          <w:p w14:paraId="25313CC1">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商务要求</w:t>
            </w:r>
          </w:p>
        </w:tc>
        <w:tc>
          <w:tcPr>
            <w:tcW w:w="10467" w:type="dxa"/>
            <w:gridSpan w:val="5"/>
            <w:shd w:val="clear" w:color="auto" w:fill="FFFFFF"/>
            <w:vAlign w:val="center"/>
          </w:tcPr>
          <w:p w14:paraId="0745BF33">
            <w:pPr>
              <w:numPr>
                <w:ilvl w:val="0"/>
                <w:numId w:val="1"/>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交货期</w:t>
            </w:r>
            <w:r>
              <w:rPr>
                <w:rFonts w:hint="eastAsia" w:ascii="宋体" w:hAnsi="宋体" w:eastAsia="宋体" w:cs="宋体"/>
                <w:color w:val="auto"/>
                <w:sz w:val="24"/>
                <w:szCs w:val="24"/>
                <w:highlight w:val="none"/>
              </w:rPr>
              <w:t>：</w:t>
            </w:r>
          </w:p>
          <w:p w14:paraId="4BCA3CBD">
            <w:pPr>
              <w:numPr>
                <w:ilvl w:val="0"/>
                <w:numId w:val="0"/>
              </w:numPr>
              <w:spacing w:line="360" w:lineRule="auto"/>
              <w:rPr>
                <w:rFonts w:hint="eastAsia"/>
                <w:lang w:eastAsia="zh-CN"/>
              </w:rPr>
            </w:pPr>
            <w:r>
              <w:rPr>
                <w:rFonts w:hint="eastAsia" w:ascii="宋体" w:hAnsi="宋体" w:eastAsia="宋体" w:cs="宋体"/>
                <w:color w:val="auto"/>
                <w:sz w:val="24"/>
                <w:szCs w:val="24"/>
                <w:highlight w:val="none"/>
              </w:rPr>
              <w:t>自合同签订之日起</w:t>
            </w:r>
            <w:r>
              <w:rPr>
                <w:rFonts w:hint="eastAsia" w:ascii="宋体" w:hAnsi="宋体" w:eastAsia="宋体" w:cs="宋体"/>
                <w:color w:val="auto"/>
                <w:sz w:val="24"/>
                <w:szCs w:val="24"/>
                <w:highlight w:val="none"/>
                <w:lang w:val="en-US" w:eastAsia="zh-CN"/>
              </w:rPr>
              <w:t>1个月</w:t>
            </w:r>
            <w:r>
              <w:rPr>
                <w:rFonts w:hint="eastAsia" w:ascii="宋体" w:hAnsi="宋体" w:eastAsia="宋体" w:cs="宋体"/>
                <w:color w:val="auto"/>
                <w:sz w:val="24"/>
                <w:szCs w:val="24"/>
                <w:highlight w:val="none"/>
              </w:rPr>
              <w:t>内供货安装调试完毕。</w:t>
            </w:r>
          </w:p>
          <w:p w14:paraId="790C834C">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2、交付地点</w:t>
            </w:r>
            <w:r>
              <w:rPr>
                <w:rFonts w:hint="eastAsia" w:ascii="宋体" w:hAnsi="宋体" w:eastAsia="宋体" w:cs="宋体"/>
                <w:color w:val="auto"/>
                <w:sz w:val="24"/>
                <w:szCs w:val="24"/>
                <w:highlight w:val="none"/>
              </w:rPr>
              <w:t>：设备全部到达山东师范大学校内指定地点。</w:t>
            </w:r>
          </w:p>
          <w:p w14:paraId="70160167">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3、付款条件：</w:t>
            </w:r>
          </w:p>
          <w:p w14:paraId="54954F8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中标人供货并安装调试完成，使用单位初步验收合格后支付合同价款的60%；经招标人验收合格后，招标人支付至合同价款的100%。</w:t>
            </w:r>
          </w:p>
          <w:p w14:paraId="2AA95083">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4、验收</w:t>
            </w:r>
            <w:r>
              <w:rPr>
                <w:rFonts w:hint="eastAsia" w:ascii="宋体" w:hAnsi="宋体" w:eastAsia="宋体" w:cs="宋体"/>
                <w:color w:val="auto"/>
                <w:sz w:val="24"/>
                <w:szCs w:val="24"/>
                <w:highlight w:val="none"/>
              </w:rPr>
              <w:t>：</w:t>
            </w:r>
          </w:p>
          <w:p w14:paraId="3C827D4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根据《山东省政府采购履约验收管理办法》及</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要求进行验收。</w:t>
            </w:r>
          </w:p>
          <w:p w14:paraId="750C851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4.1货物运抵现场后，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将对货物数量、质量、规格等进行检验。如发现货物和规格或者两者都与招标文件、投标文件、合同不符，</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有权限根据检验结果要求中标人立即更换或者提出索赔要求。</w:t>
            </w:r>
          </w:p>
          <w:p w14:paraId="7C5A0EE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4.2货物由中标人进行安装，完毕后，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应对货物的数量、质量、规格、性能等进行详细而全面的检验。安装完毕7日后，证明货物以及安装质量无任何问题，由</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组成的验收小组签署验收报告，作为付款凭据之一。</w:t>
            </w:r>
          </w:p>
          <w:p w14:paraId="25FAAE6D">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5、质量保证期</w:t>
            </w:r>
            <w:r>
              <w:rPr>
                <w:rFonts w:hint="eastAsia" w:ascii="宋体" w:hAnsi="宋体" w:eastAsia="宋体" w:cs="宋体"/>
                <w:color w:val="auto"/>
                <w:sz w:val="24"/>
                <w:szCs w:val="24"/>
                <w:highlight w:val="none"/>
              </w:rPr>
              <w:t>：</w:t>
            </w:r>
          </w:p>
          <w:p w14:paraId="1D0264D7">
            <w:pPr>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5.1质保期：国产设备原厂质保3年（清单技术规格要求中有要求的按照清单要求执行）。国家主管部门或者行业标准对货物本身有更高要求的，从其规定并在合同中约定，投标人亦可提报更长的质保期，质保及售后须注明质保主体（原厂或投标人）。</w:t>
            </w:r>
          </w:p>
          <w:p w14:paraId="7FE34C6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质量保证期内，如果证实货物是有缺陷的，包括潜在的缺陷或者使用不符合要求的材料等，中标人应立即免费维修或者更换有缺陷的货物或者部件，保证达到合同规定的技术以及性能要求。如果中标人在收到通知后5天内没有弥补缺陷，</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可自行采取必要的补救措施，但风险和费用由中标人承担，</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同时保留通过法律途径进行索赔的权利。</w:t>
            </w:r>
          </w:p>
          <w:p w14:paraId="4DF692AF">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6、售后服务</w:t>
            </w:r>
            <w:r>
              <w:rPr>
                <w:rFonts w:hint="eastAsia" w:ascii="宋体" w:hAnsi="宋体" w:eastAsia="宋体" w:cs="宋体"/>
                <w:color w:val="auto"/>
                <w:sz w:val="24"/>
                <w:szCs w:val="24"/>
                <w:highlight w:val="none"/>
              </w:rPr>
              <w:t>：</w:t>
            </w:r>
          </w:p>
          <w:p w14:paraId="0766353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6.1投标人应提供及时周到的售后服务，应保证每季度至少一次上门回访、检修。</w:t>
            </w:r>
          </w:p>
          <w:p w14:paraId="7715540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6.2投标人自报响应、维修时间以及备品备件情况。</w:t>
            </w:r>
          </w:p>
          <w:p w14:paraId="11503F3A">
            <w:pPr>
              <w:pStyle w:val="23"/>
              <w:numPr>
                <w:ilvl w:val="0"/>
                <w:numId w:val="0"/>
              </w:num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培训</w:t>
            </w:r>
          </w:p>
          <w:p w14:paraId="12F72354">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投标人提供技术培训，包括</w:t>
            </w:r>
            <w:r>
              <w:rPr>
                <w:rFonts w:hint="eastAsia" w:ascii="宋体" w:hAnsi="宋体" w:eastAsia="宋体" w:cs="宋体"/>
                <w:color w:val="auto"/>
                <w:sz w:val="24"/>
                <w:szCs w:val="24"/>
                <w:highlight w:val="none"/>
                <w:lang w:val="en-US" w:eastAsia="zh-CN"/>
              </w:rPr>
              <w:t>设备</w:t>
            </w:r>
            <w:r>
              <w:rPr>
                <w:rFonts w:hint="eastAsia" w:ascii="宋体" w:hAnsi="宋体" w:eastAsia="宋体" w:cs="宋体"/>
                <w:color w:val="auto"/>
                <w:sz w:val="24"/>
                <w:szCs w:val="24"/>
                <w:highlight w:val="none"/>
              </w:rPr>
              <w:t>使用维护、工作原理、基本操作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常见故障处理等。</w:t>
            </w:r>
          </w:p>
        </w:tc>
      </w:tr>
      <w:tr w14:paraId="59BA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3345" w:type="dxa"/>
            <w:gridSpan w:val="2"/>
            <w:shd w:val="clear" w:color="auto" w:fill="FFFFFF"/>
            <w:vAlign w:val="center"/>
          </w:tcPr>
          <w:p w14:paraId="03D708EC">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政策要求</w:t>
            </w:r>
          </w:p>
        </w:tc>
        <w:tc>
          <w:tcPr>
            <w:tcW w:w="10467" w:type="dxa"/>
            <w:gridSpan w:val="5"/>
            <w:shd w:val="clear" w:color="auto" w:fill="FFFFFF"/>
            <w:vAlign w:val="center"/>
          </w:tcPr>
          <w:p w14:paraId="6B7DF204">
            <w:pPr>
              <w:pStyle w:val="3"/>
              <w:spacing w:line="360" w:lineRule="auto"/>
              <w:ind w:left="0" w:leftChars="0" w:firstLine="0" w:firstLineChars="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严格落实财政部、工业和信息化部《政府采购促进中小企业发展管理办法》（财库〔2020〕46号）、《财政部 司法部关于政府采购支持监狱企业发展有关问题的通知》（财库〔2014〕68号）、《关于促进残疾人就业政府采购政策的通知》（财库[2017]141号）、《关于进一步发挥政府采购政策功能支持中小企业发展的通知》、《关于调整优化节能产品、环境标志产品政府采购执行机制的通知》、《关于印发节能产品政府采购品目清单的通知》、《关于印发环境标志产品政府采购品目清单的通知》</w:t>
            </w:r>
            <w:r>
              <w:rPr>
                <w:rFonts w:hint="eastAsia" w:ascii="宋体" w:hAnsi="宋体" w:eastAsia="宋体" w:cs="宋体"/>
                <w:color w:val="auto"/>
                <w:sz w:val="24"/>
                <w:szCs w:val="24"/>
                <w:highlight w:val="none"/>
                <w:lang w:val="en-US" w:eastAsia="zh-CN"/>
              </w:rPr>
              <w:t>本国产品政策、</w:t>
            </w:r>
            <w:r>
              <w:rPr>
                <w:rFonts w:hint="eastAsia" w:ascii="宋体" w:hAnsi="宋体" w:eastAsia="宋体" w:cs="宋体"/>
                <w:color w:val="auto"/>
                <w:sz w:val="24"/>
                <w:szCs w:val="24"/>
                <w:highlight w:val="none"/>
                <w:lang w:val="zh-CN"/>
              </w:rPr>
              <w:t>采购绿色建材、推广节能建筑等</w:t>
            </w:r>
            <w:r>
              <w:rPr>
                <w:rFonts w:hint="eastAsia" w:ascii="宋体" w:hAnsi="宋体" w:eastAsia="宋体" w:cs="宋体"/>
                <w:color w:val="auto"/>
                <w:sz w:val="24"/>
                <w:szCs w:val="24"/>
                <w:highlight w:val="none"/>
              </w:rPr>
              <w:t>国家最新</w:t>
            </w:r>
            <w:r>
              <w:rPr>
                <w:rFonts w:hint="eastAsia" w:ascii="宋体" w:hAnsi="宋体" w:eastAsia="宋体" w:cs="宋体"/>
                <w:color w:val="auto"/>
                <w:sz w:val="24"/>
                <w:szCs w:val="24"/>
                <w:highlight w:val="none"/>
                <w:lang w:val="zh-CN"/>
              </w:rPr>
              <w:t>政府采购政策。</w:t>
            </w:r>
          </w:p>
        </w:tc>
      </w:tr>
      <w:tr w14:paraId="53A3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3345" w:type="dxa"/>
            <w:gridSpan w:val="2"/>
            <w:shd w:val="clear" w:color="auto" w:fill="FFFFFF"/>
            <w:vAlign w:val="center"/>
          </w:tcPr>
          <w:p w14:paraId="5F9C60EB">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绩效目标</w:t>
            </w:r>
          </w:p>
        </w:tc>
        <w:tc>
          <w:tcPr>
            <w:tcW w:w="10467" w:type="dxa"/>
            <w:gridSpan w:val="5"/>
            <w:shd w:val="clear" w:color="auto" w:fill="FFFFFF"/>
            <w:vAlign w:val="center"/>
          </w:tcPr>
          <w:p w14:paraId="3718F608">
            <w:pPr>
              <w:pStyle w:val="3"/>
              <w:spacing w:line="360" w:lineRule="auto"/>
              <w:ind w:left="0" w:leftChars="0" w:firstLine="0" w:firstLine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满足国际教育学院数智化教学需要。</w:t>
            </w:r>
          </w:p>
        </w:tc>
      </w:tr>
      <w:tr w14:paraId="48A9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atLeast"/>
        </w:trPr>
        <w:tc>
          <w:tcPr>
            <w:tcW w:w="3345" w:type="dxa"/>
            <w:gridSpan w:val="2"/>
            <w:shd w:val="clear" w:color="auto" w:fill="FFFFFF"/>
            <w:vAlign w:val="center"/>
          </w:tcPr>
          <w:p w14:paraId="3E237FFE">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其他要求</w:t>
            </w:r>
          </w:p>
        </w:tc>
        <w:tc>
          <w:tcPr>
            <w:tcW w:w="10467" w:type="dxa"/>
            <w:gridSpan w:val="5"/>
            <w:shd w:val="clear" w:color="auto" w:fill="FFFFFF"/>
            <w:vAlign w:val="center"/>
          </w:tcPr>
          <w:p w14:paraId="1964C341">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投标人资格要求：</w:t>
            </w:r>
          </w:p>
          <w:p w14:paraId="14DA3CFC">
            <w:pPr>
              <w:numPr>
                <w:ilvl w:val="0"/>
                <w:numId w:val="2"/>
              </w:num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符合《中华人民共和国政府采购法》第二十二条的规定。</w:t>
            </w:r>
          </w:p>
          <w:p w14:paraId="41BC3B7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信用中国”（www.creditchina.gov.cn）、中国政府采购网（www.ccgp.gov.cn）、“信用山东”（credit.shandong.gov.cn）等网站中被列入失信被执行人、重大税收违法失信主体、政府采购严重违法失信行为记录名单的投标人，不得参加本次政府采购活动；</w:t>
            </w:r>
          </w:p>
          <w:p w14:paraId="6C86B9B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）单位负责人为同一人或者存在直接控股、管理关系的不同投标人，不得参加同一合同项下（同一包号）的政府采购活动；</w:t>
            </w:r>
          </w:p>
          <w:p w14:paraId="02BA52A0">
            <w:pPr>
              <w:spacing w:line="360" w:lineRule="auto"/>
              <w:rPr>
                <w:rFonts w:hint="eastAsia"/>
                <w:color w:val="auto"/>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）本项目不接受联合体投标。</w:t>
            </w:r>
          </w:p>
        </w:tc>
      </w:tr>
    </w:tbl>
    <w:p w14:paraId="38ADD40D">
      <w:pPr>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附件</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rPr>
        <w:t>详细技术要求</w:t>
      </w:r>
    </w:p>
    <w:tbl>
      <w:tblPr>
        <w:tblStyle w:val="9"/>
        <w:tblW w:w="51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198"/>
        <w:gridCol w:w="1423"/>
        <w:gridCol w:w="9023"/>
        <w:gridCol w:w="793"/>
        <w:gridCol w:w="813"/>
      </w:tblGrid>
      <w:tr w14:paraId="5419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88" w:type="pct"/>
            <w:shd w:val="clear" w:color="auto" w:fill="auto"/>
            <w:vAlign w:val="center"/>
          </w:tcPr>
          <w:p w14:paraId="5B9D0999">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931" w:type="pct"/>
            <w:gridSpan w:val="2"/>
            <w:shd w:val="clear" w:color="auto" w:fill="auto"/>
            <w:vAlign w:val="center"/>
          </w:tcPr>
          <w:p w14:paraId="7450910D">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3208" w:type="pct"/>
            <w:shd w:val="clear" w:color="auto" w:fill="auto"/>
            <w:vAlign w:val="center"/>
          </w:tcPr>
          <w:p w14:paraId="1834F8BB">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技术参数</w:t>
            </w:r>
          </w:p>
        </w:tc>
        <w:tc>
          <w:tcPr>
            <w:tcW w:w="281" w:type="pct"/>
            <w:shd w:val="clear" w:color="auto" w:fill="auto"/>
            <w:vAlign w:val="center"/>
          </w:tcPr>
          <w:p w14:paraId="232E9C9B">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单位</w:t>
            </w:r>
          </w:p>
        </w:tc>
        <w:tc>
          <w:tcPr>
            <w:tcW w:w="289" w:type="pct"/>
            <w:shd w:val="clear" w:color="auto" w:fill="auto"/>
            <w:vAlign w:val="center"/>
          </w:tcPr>
          <w:p w14:paraId="69166A99">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r>
      <w:tr w14:paraId="2FCF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shd w:val="clear" w:color="auto" w:fill="auto"/>
            <w:vAlign w:val="center"/>
          </w:tcPr>
          <w:p w14:paraId="601AE473">
            <w:pPr>
              <w:widowControl/>
              <w:spacing w:line="360" w:lineRule="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c>
          <w:tcPr>
            <w:tcW w:w="2621" w:type="dxa"/>
            <w:gridSpan w:val="2"/>
            <w:shd w:val="clear" w:color="auto" w:fill="auto"/>
            <w:vAlign w:val="center"/>
          </w:tcPr>
          <w:p w14:paraId="1EBF4A0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高精度经颅电刺激仪</w:t>
            </w:r>
          </w:p>
        </w:tc>
        <w:tc>
          <w:tcPr>
            <w:tcW w:w="9023" w:type="dxa"/>
            <w:shd w:val="clear" w:color="auto" w:fill="auto"/>
            <w:vAlign w:val="center"/>
          </w:tcPr>
          <w:p w14:paraId="4018EDD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▲1.电刺激采样率 ≥ 1M sps；脑电采样率≥2000Hz，输入阻抗：≥7Gohm。（需提供相关证明材料）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2.电刺激通道数≥ 32通道，返回通道数≥8通道；脑电导联数：≥64导。</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3.单通道输出电流强度：0.001mA-4mA, 步长≤0.001mA。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4.支持多通道输出电流，返回通道实时电流等于各通道电极的电流之和，误差≤±10%。</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5.输出电流稳定性：设备在负载电阻10Ω～8000Ω下的电流变化率≤5%。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6.支持在刺激过程中阻抗检查，可实时显示每个电极的接触阻抗，误差≤±10%。</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7.具备急停按钮，刺激过程中可通过急停按钮中止刺激</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8.内置高分辨率DDS电流刺激器, 支持频率步进≤0.001Hz变化。</w:t>
            </w:r>
            <w:r>
              <w:rPr>
                <w:rFonts w:hint="eastAsia" w:ascii="宋体" w:hAnsi="宋体" w:eastAsia="宋体" w:cs="宋体"/>
                <w:color w:val="auto"/>
                <w:sz w:val="24"/>
                <w:szCs w:val="24"/>
                <w:highlight w:val="none"/>
              </w:rPr>
              <w:br w:type="textWrapping"/>
            </w:r>
            <w:r>
              <w:rPr>
                <w:rFonts w:hint="eastAsia" w:ascii="宋体" w:hAnsi="宋体" w:eastAsia="宋体" w:cs="宋体"/>
                <w:strike w:val="0"/>
                <w:color w:val="auto"/>
                <w:sz w:val="24"/>
                <w:szCs w:val="24"/>
                <w:highlight w:val="none"/>
              </w:rPr>
              <w:t>9.支持多个通道独立编程，支持tDCS、tACS、toDCS、tPCS、tRNS、AM(amplitude modulation)振幅调制刺激、自定义复合波形刺激、TI(Temporally Interfering)时间干涉刺激等。</w:t>
            </w:r>
            <w:r>
              <w:rPr>
                <w:rFonts w:hint="eastAsia" w:ascii="宋体" w:hAnsi="宋体" w:eastAsia="宋体" w:cs="宋体"/>
                <w:color w:val="auto"/>
                <w:sz w:val="24"/>
                <w:szCs w:val="24"/>
                <w:highlight w:val="yellow"/>
              </w:rPr>
              <w:br w:type="textWrapping"/>
            </w:r>
            <w:r>
              <w:rPr>
                <w:rFonts w:hint="eastAsia" w:ascii="宋体" w:hAnsi="宋体" w:eastAsia="宋体" w:cs="宋体"/>
                <w:color w:val="auto"/>
                <w:sz w:val="24"/>
                <w:szCs w:val="24"/>
                <w:highlight w:val="none"/>
              </w:rPr>
              <w:t>10.tPCS频率范围：0.001-1000Hz，步长≤0.001Hz。</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11.tPCS脉宽范围：25us-25000ms，步长≤1us。</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12.tACS频率范围：0.001-20000Hz，步长≤0.001 Hz。</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13.tACS相位0-360°可调，调节步长≤1°。</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14.具有Trigger IN /Trigger OUT 外部触发接口。</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15.具有时钟同步接口，可支持多刺激器级联并保持多人脑间刺激相位同步。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lang w:val="en-US" w:eastAsia="zh-CN"/>
              </w:rPr>
              <w:t>集成脑电采集与电刺激功能的一体化架构，支持单独采集、单独刺激及闭环神经调控三种模式；</w:t>
            </w:r>
            <w:r>
              <w:rPr>
                <w:rFonts w:hint="eastAsia" w:ascii="宋体" w:hAnsi="宋体" w:eastAsia="宋体" w:cs="宋体"/>
                <w:color w:val="auto"/>
                <w:sz w:val="24"/>
                <w:szCs w:val="24"/>
                <w:highlight w:val="none"/>
              </w:rPr>
              <w:t>可支持脑电-电刺激闭环，刺激响应延迟≤10ms</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二、刺激软件技术参数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1.软件预设多种刺激协议，并支持编辑、预览、保存。</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2.支持刺激协议导入导出，以及刺激波形可视化预览。</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▲3.支持刺激过程中电流、阻抗实时监测功能；同时可自动保存电流、阻抗数据。（需提供相关证明材料）</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4.支持自定义波形功能。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5.刺激时长设定时间内连续可调，超过40min有安全提示。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6.提供标准 API 接口，支持编程方式控制设备输出电刺激。</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7.支持单伪和双伪刺激模式。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8.支持双盲实验功能。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9.软件支持切换显示中文或英文。</w:t>
            </w:r>
          </w:p>
          <w:p w14:paraId="091AC05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三、其它配套设备:≥1块拓展显示屏；≥1个USB小键盘；≥1个脑电帽专用清洗盒；≥2盒导电膏；≥1套Eprime和1套Matlab软件</w:t>
            </w:r>
          </w:p>
        </w:tc>
        <w:tc>
          <w:tcPr>
            <w:tcW w:w="793" w:type="dxa"/>
            <w:shd w:val="clear" w:color="auto" w:fill="auto"/>
            <w:vAlign w:val="center"/>
          </w:tcPr>
          <w:p w14:paraId="3B9C37C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813" w:type="dxa"/>
            <w:shd w:val="clear" w:color="auto" w:fill="auto"/>
            <w:vAlign w:val="center"/>
          </w:tcPr>
          <w:p w14:paraId="3F9D7BC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r>
      <w:tr w14:paraId="5D7B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1" w:hRule="atLeast"/>
        </w:trPr>
        <w:tc>
          <w:tcPr>
            <w:tcW w:w="288" w:type="pct"/>
            <w:vMerge w:val="restart"/>
            <w:shd w:val="clear" w:color="auto" w:fill="auto"/>
            <w:vAlign w:val="center"/>
          </w:tcPr>
          <w:p w14:paraId="7FC67DA5">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c>
          <w:tcPr>
            <w:tcW w:w="425" w:type="pct"/>
            <w:vMerge w:val="restart"/>
            <w:shd w:val="clear" w:color="auto" w:fill="auto"/>
            <w:vAlign w:val="center"/>
          </w:tcPr>
          <w:p w14:paraId="7CE87237">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语言学习多功能终端</w:t>
            </w:r>
            <w:r>
              <w:rPr>
                <w:rFonts w:hint="eastAsia" w:ascii="宋体" w:hAnsi="宋体" w:eastAsia="宋体" w:cs="宋体"/>
                <w:color w:val="000000"/>
                <w:kern w:val="0"/>
                <w:sz w:val="24"/>
                <w:szCs w:val="24"/>
                <w:lang w:val="en-US" w:eastAsia="zh-CN"/>
              </w:rPr>
              <w:t>软件</w:t>
            </w:r>
          </w:p>
        </w:tc>
        <w:tc>
          <w:tcPr>
            <w:tcW w:w="505" w:type="pct"/>
            <w:shd w:val="clear" w:color="auto" w:fill="auto"/>
            <w:vAlign w:val="center"/>
          </w:tcPr>
          <w:p w14:paraId="153505A1">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云桌面软件</w:t>
            </w:r>
          </w:p>
        </w:tc>
        <w:tc>
          <w:tcPr>
            <w:tcW w:w="3208" w:type="pct"/>
            <w:shd w:val="clear" w:color="auto" w:fill="auto"/>
          </w:tcPr>
          <w:p w14:paraId="4CCCE3D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支持任意终端作为发送端将自身镜像同传给其它设备，同传时可在同传界面直观显示传输信息；支持增量同传和断点续传</w:t>
            </w:r>
            <w:r>
              <w:rPr>
                <w:rFonts w:hint="eastAsia" w:ascii="宋体" w:hAnsi="宋体" w:eastAsia="宋体" w:cs="宋体"/>
                <w:sz w:val="24"/>
                <w:szCs w:val="24"/>
                <w:lang w:eastAsia="zh-CN"/>
              </w:rPr>
              <w:t>。</w:t>
            </w:r>
          </w:p>
          <w:p w14:paraId="0C610CC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千兆环境下的同传峰值</w:t>
            </w:r>
            <w:r>
              <w:rPr>
                <w:rFonts w:hint="eastAsia" w:ascii="宋体" w:hAnsi="宋体" w:eastAsia="宋体" w:cs="宋体"/>
                <w:sz w:val="24"/>
                <w:szCs w:val="24"/>
                <w:lang w:val="en-US" w:eastAsia="zh-CN"/>
              </w:rPr>
              <w:t>速度≥</w:t>
            </w:r>
            <w:r>
              <w:rPr>
                <w:rFonts w:hint="eastAsia" w:ascii="宋体" w:hAnsi="宋体" w:eastAsia="宋体" w:cs="宋体"/>
                <w:sz w:val="24"/>
                <w:szCs w:val="24"/>
              </w:rPr>
              <w:t>26</w:t>
            </w:r>
            <w:r>
              <w:rPr>
                <w:rFonts w:hint="eastAsia" w:ascii="宋体" w:hAnsi="宋体" w:eastAsia="宋体" w:cs="宋体"/>
                <w:sz w:val="24"/>
                <w:szCs w:val="24"/>
                <w:lang w:val="en-US" w:eastAsia="zh-CN"/>
              </w:rPr>
              <w:t>0</w:t>
            </w:r>
            <w:r>
              <w:rPr>
                <w:rFonts w:hint="eastAsia" w:ascii="宋体" w:hAnsi="宋体" w:eastAsia="宋体" w:cs="宋体"/>
                <w:sz w:val="24"/>
                <w:szCs w:val="24"/>
              </w:rPr>
              <w:t>MB/S，平均速度</w:t>
            </w:r>
            <w:r>
              <w:rPr>
                <w:rFonts w:hint="eastAsia" w:ascii="宋体" w:hAnsi="宋体" w:eastAsia="宋体" w:cs="宋体"/>
                <w:sz w:val="24"/>
                <w:szCs w:val="24"/>
                <w:lang w:val="en-US" w:eastAsia="zh-CN"/>
              </w:rPr>
              <w:t>≥</w:t>
            </w:r>
            <w:r>
              <w:rPr>
                <w:rFonts w:hint="eastAsia" w:ascii="宋体" w:hAnsi="宋体" w:eastAsia="宋体" w:cs="宋体"/>
                <w:sz w:val="24"/>
                <w:szCs w:val="24"/>
              </w:rPr>
              <w:t>150MB/S（1200Mb/S）</w:t>
            </w:r>
            <w:r>
              <w:rPr>
                <w:rFonts w:hint="eastAsia" w:ascii="宋体" w:hAnsi="宋体" w:eastAsia="宋体" w:cs="宋体"/>
                <w:sz w:val="24"/>
                <w:szCs w:val="24"/>
                <w:lang w:eastAsia="zh-CN"/>
              </w:rPr>
              <w:t>。</w:t>
            </w:r>
          </w:p>
          <w:p w14:paraId="496C0B61">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支持静默下发镜像</w:t>
            </w:r>
            <w:r>
              <w:rPr>
                <w:rFonts w:hint="eastAsia" w:ascii="宋体" w:hAnsi="宋体" w:eastAsia="宋体" w:cs="宋体"/>
                <w:sz w:val="24"/>
                <w:szCs w:val="24"/>
                <w:lang w:eastAsia="zh-CN"/>
              </w:rPr>
              <w:t>；</w:t>
            </w:r>
            <w:r>
              <w:rPr>
                <w:rFonts w:hint="eastAsia" w:ascii="宋体" w:hAnsi="宋体" w:eastAsia="宋体" w:cs="宋体"/>
                <w:sz w:val="24"/>
                <w:szCs w:val="24"/>
              </w:rPr>
              <w:t>支持单个终端部署多个系统镜像</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支</w:t>
            </w:r>
            <w:r>
              <w:rPr>
                <w:rFonts w:hint="eastAsia" w:ascii="宋体" w:hAnsi="宋体" w:eastAsia="宋体" w:cs="宋体"/>
                <w:sz w:val="24"/>
                <w:szCs w:val="24"/>
              </w:rPr>
              <w:t>持多种USB禁用模式和策略</w:t>
            </w:r>
            <w:r>
              <w:rPr>
                <w:rFonts w:hint="eastAsia" w:ascii="宋体" w:hAnsi="宋体" w:eastAsia="宋体" w:cs="宋体"/>
                <w:sz w:val="24"/>
                <w:szCs w:val="24"/>
                <w:lang w:eastAsia="zh-CN"/>
              </w:rPr>
              <w:t>；</w:t>
            </w:r>
            <w:r>
              <w:rPr>
                <w:rFonts w:hint="eastAsia" w:ascii="宋体" w:hAnsi="宋体" w:eastAsia="宋体" w:cs="宋体"/>
                <w:sz w:val="24"/>
                <w:szCs w:val="24"/>
              </w:rPr>
              <w:t>支持外网访问禁用</w:t>
            </w:r>
            <w:r>
              <w:rPr>
                <w:rFonts w:hint="eastAsia" w:ascii="宋体" w:hAnsi="宋体" w:eastAsia="宋体" w:cs="宋体"/>
                <w:sz w:val="24"/>
                <w:szCs w:val="24"/>
                <w:lang w:eastAsia="zh-CN"/>
              </w:rPr>
              <w:t>。</w:t>
            </w:r>
          </w:p>
          <w:p w14:paraId="59F765C0">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支</w:t>
            </w:r>
            <w:r>
              <w:rPr>
                <w:rFonts w:hint="eastAsia" w:ascii="宋体" w:hAnsi="宋体" w:eastAsia="宋体" w:cs="宋体"/>
                <w:sz w:val="24"/>
                <w:szCs w:val="24"/>
                <w:lang w:val="en-US" w:eastAsia="zh-CN"/>
              </w:rPr>
              <w:t>持</w:t>
            </w:r>
            <w:r>
              <w:rPr>
                <w:rFonts w:hint="eastAsia" w:ascii="宋体" w:hAnsi="宋体" w:eastAsia="宋体" w:cs="宋体"/>
                <w:sz w:val="24"/>
                <w:szCs w:val="24"/>
              </w:rPr>
              <w:t>计划任务设置，可以设置每日、每周、每月、指定日期和指定时间点进行定时执行各种任务类型，包括开机、关机、还原、切换镜像等；</w:t>
            </w:r>
          </w:p>
          <w:p w14:paraId="4102A85F">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可配置开机自动启动操作系统或进入云桌面系统；支持在操作系统中通过托盘程序直接切换其它镜像</w:t>
            </w:r>
            <w:r>
              <w:rPr>
                <w:rFonts w:hint="eastAsia" w:ascii="宋体" w:hAnsi="宋体" w:eastAsia="宋体" w:cs="宋体"/>
                <w:sz w:val="24"/>
                <w:szCs w:val="24"/>
                <w:lang w:eastAsia="zh-CN"/>
              </w:rPr>
              <w:t>。</w:t>
            </w:r>
          </w:p>
          <w:p w14:paraId="63FB7B9B">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rPr>
              <w:t>支持批量下发还原策略，不同盘符可单独设置还原策略，支持不还原/每次还原/每周还原/每月还原</w:t>
            </w:r>
            <w:r>
              <w:rPr>
                <w:rFonts w:hint="eastAsia" w:ascii="宋体" w:hAnsi="宋体" w:eastAsia="宋体" w:cs="宋体"/>
                <w:sz w:val="24"/>
                <w:szCs w:val="24"/>
                <w:lang w:eastAsia="zh-CN"/>
              </w:rPr>
              <w:t>。</w:t>
            </w:r>
          </w:p>
          <w:p w14:paraId="558A92FB">
            <w:pPr>
              <w:spacing w:line="360" w:lineRule="auto"/>
              <w:rPr>
                <w:rFonts w:hint="eastAsia" w:ascii="宋体" w:hAnsi="宋体" w:eastAsia="宋体" w:cs="宋体"/>
                <w:color w:val="000000"/>
                <w:kern w:val="0"/>
                <w:sz w:val="24"/>
                <w:szCs w:val="24"/>
                <w:lang w:val="en-US" w:eastAsia="zh-CN"/>
              </w:rPr>
            </w:pPr>
            <w:r>
              <w:rPr>
                <w:rFonts w:hint="eastAsia" w:ascii="宋体" w:hAnsi="宋体" w:eastAsia="宋体" w:cs="宋体"/>
                <w:sz w:val="24"/>
                <w:szCs w:val="24"/>
                <w:lang w:val="en-US" w:eastAsia="zh-CN"/>
              </w:rPr>
              <w:t>#7.支持 C/S 和B/S 协同架构，可以通过浏览器、客户端访问管理后台，登录方式支持账号、手机扫码及本地管理密码。（提供现场演示）</w:t>
            </w:r>
          </w:p>
        </w:tc>
        <w:tc>
          <w:tcPr>
            <w:tcW w:w="281" w:type="pct"/>
            <w:shd w:val="clear" w:color="auto" w:fill="auto"/>
            <w:vAlign w:val="center"/>
          </w:tcPr>
          <w:p w14:paraId="21966C64">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点</w:t>
            </w:r>
          </w:p>
        </w:tc>
        <w:tc>
          <w:tcPr>
            <w:tcW w:w="289" w:type="pct"/>
            <w:shd w:val="clear" w:color="auto" w:fill="auto"/>
            <w:vAlign w:val="center"/>
          </w:tcPr>
          <w:p w14:paraId="57B86E87">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45</w:t>
            </w:r>
          </w:p>
        </w:tc>
      </w:tr>
      <w:tr w14:paraId="5386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continue"/>
            <w:shd w:val="clear" w:color="auto" w:fill="auto"/>
            <w:vAlign w:val="center"/>
          </w:tcPr>
          <w:p w14:paraId="7EDCC64D">
            <w:pPr>
              <w:widowControl/>
              <w:spacing w:line="360" w:lineRule="auto"/>
              <w:jc w:val="center"/>
              <w:rPr>
                <w:rFonts w:hint="eastAsia" w:ascii="宋体" w:hAnsi="宋体" w:eastAsia="宋体" w:cs="宋体"/>
                <w:color w:val="000000"/>
                <w:kern w:val="0"/>
                <w:sz w:val="24"/>
                <w:szCs w:val="24"/>
              </w:rPr>
            </w:pPr>
          </w:p>
        </w:tc>
        <w:tc>
          <w:tcPr>
            <w:tcW w:w="425" w:type="pct"/>
            <w:vMerge w:val="continue"/>
            <w:shd w:val="clear" w:color="auto" w:fill="auto"/>
            <w:vAlign w:val="center"/>
          </w:tcPr>
          <w:p w14:paraId="1D9DA36F">
            <w:pPr>
              <w:widowControl/>
              <w:spacing w:line="360" w:lineRule="auto"/>
              <w:jc w:val="center"/>
              <w:rPr>
                <w:rFonts w:hint="eastAsia" w:ascii="宋体" w:hAnsi="宋体" w:eastAsia="宋体" w:cs="宋体"/>
                <w:color w:val="000000"/>
                <w:kern w:val="0"/>
                <w:sz w:val="24"/>
                <w:szCs w:val="24"/>
              </w:rPr>
            </w:pPr>
          </w:p>
        </w:tc>
        <w:tc>
          <w:tcPr>
            <w:tcW w:w="505" w:type="pct"/>
            <w:shd w:val="clear" w:color="auto" w:fill="auto"/>
            <w:vAlign w:val="center"/>
          </w:tcPr>
          <w:p w14:paraId="68C5C07A">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终端安全防护软件</w:t>
            </w:r>
          </w:p>
        </w:tc>
        <w:tc>
          <w:tcPr>
            <w:tcW w:w="3208" w:type="pct"/>
            <w:shd w:val="clear" w:color="auto" w:fill="auto"/>
          </w:tcPr>
          <w:p w14:paraId="2B9087B4">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1.支持全网视角的终端资产统一清点，快速发现风险面</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清点信息包括操作系统、应用软件、监听端口和终端账户，其中操作系统和监听端口支持从资产和终端两个视角进行统计和展示。</w:t>
            </w:r>
          </w:p>
          <w:p w14:paraId="512F938A">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采用以决策树的模优先级排序模型，结合漏洞自身属性、外部漏洞情报以及资产暴露面等多个维度，在现有CVSS漏洞评分的基础上进一步消减高危漏洞数量，对发现的漏洞进行优先级排序，包含响应、关注、观察3种结果，辅助用户快速聚焦应该优先关注的漏洞威胁。</w:t>
            </w:r>
          </w:p>
          <w:p w14:paraId="6C76A0D0">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.支持禁止黑客工具启动，包含：xuetr、ProcessHacker、PCHunter、Mimikatz等工具的自启动，可以防止黑客攻击。</w:t>
            </w:r>
          </w:p>
          <w:p w14:paraId="1B518490">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勒索病毒整体防护体系可展示已处置的恶意文件数量、已拦截可疑行为次数、已阻止的未知进程操作次数、已阻止的暴力破解攻击次数；具备一键拦截已安装软件的恶意广告弹窗，可在客户端查看拦截记录，包括拦截内容、拦截次数等。</w:t>
            </w:r>
            <w:r>
              <w:rPr>
                <w:rFonts w:hint="eastAsia" w:ascii="宋体" w:hAnsi="宋体" w:eastAsia="宋体" w:cs="宋体"/>
                <w:sz w:val="24"/>
                <w:szCs w:val="24"/>
                <w:lang w:val="en-US" w:eastAsia="zh-CN"/>
              </w:rPr>
              <w:t>（提供现场演示）</w:t>
            </w:r>
          </w:p>
          <w:p w14:paraId="1384BCFA">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.具备强力专杀云端下发通道，支持在管理端批量下发强力专杀工具到内网各终端快速响应终端威胁。</w:t>
            </w:r>
          </w:p>
          <w:p w14:paraId="6893F2E4">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.支持根据统计周期、终端名称、IP地址，补丁信息和漏洞等级等多维度的入侵检测日志，杀毒扫描日志，合规检测日志，管理员操作日志，运维日志，联动日志等的日志查询和检测。</w:t>
            </w:r>
          </w:p>
        </w:tc>
        <w:tc>
          <w:tcPr>
            <w:tcW w:w="281" w:type="pct"/>
            <w:shd w:val="clear" w:color="auto" w:fill="auto"/>
            <w:vAlign w:val="center"/>
          </w:tcPr>
          <w:p w14:paraId="4955B868">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点</w:t>
            </w:r>
          </w:p>
        </w:tc>
        <w:tc>
          <w:tcPr>
            <w:tcW w:w="289" w:type="pct"/>
            <w:shd w:val="clear" w:color="auto" w:fill="auto"/>
            <w:vAlign w:val="center"/>
          </w:tcPr>
          <w:p w14:paraId="7BF357FB">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45</w:t>
            </w:r>
          </w:p>
        </w:tc>
      </w:tr>
      <w:tr w14:paraId="2A21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restart"/>
            <w:shd w:val="clear" w:color="auto" w:fill="auto"/>
            <w:vAlign w:val="center"/>
          </w:tcPr>
          <w:p w14:paraId="5A3D241F">
            <w:pPr>
              <w:widowControl/>
              <w:spacing w:line="360"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3</w:t>
            </w:r>
          </w:p>
        </w:tc>
        <w:tc>
          <w:tcPr>
            <w:tcW w:w="425" w:type="pct"/>
            <w:vMerge w:val="restart"/>
            <w:shd w:val="clear" w:color="auto" w:fill="auto"/>
            <w:vAlign w:val="center"/>
          </w:tcPr>
          <w:p w14:paraId="519352EB">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智能化语言教学平台</w:t>
            </w:r>
          </w:p>
        </w:tc>
        <w:tc>
          <w:tcPr>
            <w:tcW w:w="505" w:type="pct"/>
            <w:shd w:val="clear" w:color="auto" w:fill="auto"/>
            <w:vAlign w:val="center"/>
          </w:tcPr>
          <w:p w14:paraId="494DBD1E">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智能化英语教学平台</w:t>
            </w:r>
          </w:p>
        </w:tc>
        <w:tc>
          <w:tcPr>
            <w:tcW w:w="3208" w:type="pct"/>
            <w:shd w:val="clear" w:color="auto" w:fill="auto"/>
          </w:tcPr>
          <w:p w14:paraId="2F4FE4F2">
            <w:pPr>
              <w:widowControl/>
              <w:numPr>
                <w:ilvl w:val="0"/>
                <w:numId w:val="0"/>
              </w:numPr>
              <w:spacing w:line="360" w:lineRule="auto"/>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1.系统可满足语言实验教学需要，具有听写训练、口语训练、各种口语考试等功能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w:t>
            </w:r>
            <w:r>
              <w:rPr>
                <w:rFonts w:hint="eastAsia" w:ascii="宋体" w:hAnsi="宋体" w:eastAsia="宋体" w:cs="宋体"/>
                <w:color w:val="000000"/>
                <w:kern w:val="0"/>
                <w:sz w:val="24"/>
                <w:szCs w:val="24"/>
                <w:lang w:eastAsia="zh-CN"/>
              </w:rPr>
              <w:t>人</w:t>
            </w:r>
            <w:r>
              <w:rPr>
                <w:rFonts w:hint="eastAsia" w:ascii="宋体" w:hAnsi="宋体" w:eastAsia="宋体" w:cs="宋体"/>
                <w:color w:val="000000"/>
                <w:kern w:val="0"/>
                <w:sz w:val="24"/>
                <w:szCs w:val="24"/>
              </w:rPr>
              <w:t>持</w:t>
            </w:r>
            <w:r>
              <w:rPr>
                <w:rFonts w:hint="eastAsia" w:ascii="宋体" w:hAnsi="宋体" w:eastAsia="宋体" w:cs="宋体"/>
                <w:color w:val="000000"/>
                <w:kern w:val="0"/>
                <w:sz w:val="24"/>
                <w:szCs w:val="24"/>
                <w:lang w:eastAsia="zh-CN"/>
              </w:rPr>
              <w:t>文</w:t>
            </w:r>
            <w:r>
              <w:rPr>
                <w:rFonts w:hint="eastAsia" w:ascii="宋体" w:hAnsi="宋体" w:eastAsia="宋体" w:cs="宋体"/>
                <w:color w:val="000000"/>
                <w:kern w:val="0"/>
                <w:sz w:val="24"/>
                <w:szCs w:val="24"/>
              </w:rPr>
              <w:t>本</w:t>
            </w:r>
            <w:r>
              <w:rPr>
                <w:rFonts w:hint="eastAsia" w:ascii="宋体" w:hAnsi="宋体" w:eastAsia="宋体" w:cs="宋体"/>
                <w:color w:val="000000"/>
                <w:kern w:val="0"/>
                <w:sz w:val="24"/>
                <w:szCs w:val="24"/>
                <w:lang w:eastAsia="zh-CN"/>
              </w:rPr>
              <w:t>自</w:t>
            </w:r>
            <w:r>
              <w:rPr>
                <w:rFonts w:hint="eastAsia" w:ascii="宋体" w:hAnsi="宋体" w:eastAsia="宋体" w:cs="宋体"/>
                <w:color w:val="000000"/>
                <w:kern w:val="0"/>
                <w:sz w:val="24"/>
                <w:szCs w:val="24"/>
              </w:rPr>
              <w:t>动</w:t>
            </w:r>
            <w:r>
              <w:rPr>
                <w:rFonts w:hint="eastAsia" w:ascii="宋体" w:hAnsi="宋体" w:eastAsia="宋体" w:cs="宋体"/>
                <w:color w:val="000000"/>
                <w:kern w:val="0"/>
                <w:sz w:val="24"/>
                <w:szCs w:val="24"/>
                <w:lang w:eastAsia="zh-CN"/>
              </w:rPr>
              <w:t>生</w:t>
            </w:r>
            <w:r>
              <w:rPr>
                <w:rFonts w:hint="eastAsia" w:ascii="宋体" w:hAnsi="宋体" w:eastAsia="宋体" w:cs="宋体"/>
                <w:color w:val="000000"/>
                <w:kern w:val="0"/>
                <w:sz w:val="24"/>
                <w:szCs w:val="24"/>
              </w:rPr>
              <w:t>成配套</w:t>
            </w:r>
            <w:r>
              <w:rPr>
                <w:rFonts w:hint="eastAsia" w:ascii="宋体" w:hAnsi="宋体" w:eastAsia="宋体" w:cs="宋体"/>
                <w:color w:val="000000"/>
                <w:kern w:val="0"/>
                <w:sz w:val="24"/>
                <w:szCs w:val="24"/>
                <w:lang w:eastAsia="zh-CN"/>
              </w:rPr>
              <w:t>音</w:t>
            </w:r>
            <w:r>
              <w:rPr>
                <w:rFonts w:hint="eastAsia" w:ascii="宋体" w:hAnsi="宋体" w:eastAsia="宋体" w:cs="宋体"/>
                <w:color w:val="000000"/>
                <w:kern w:val="0"/>
                <w:sz w:val="24"/>
                <w:szCs w:val="24"/>
              </w:rPr>
              <w:t>频，并对导⼊的资源按单词、短语、句型知识点</w:t>
            </w:r>
            <w:r>
              <w:rPr>
                <w:rFonts w:hint="eastAsia" w:ascii="宋体" w:hAnsi="宋体" w:eastAsia="宋体" w:cs="宋体"/>
                <w:color w:val="000000"/>
                <w:kern w:val="0"/>
                <w:sz w:val="24"/>
                <w:szCs w:val="24"/>
                <w:lang w:eastAsia="zh-CN"/>
              </w:rPr>
              <w:t>自</w:t>
            </w:r>
            <w:r>
              <w:rPr>
                <w:rFonts w:hint="eastAsia" w:ascii="宋体" w:hAnsi="宋体" w:eastAsia="宋体" w:cs="宋体"/>
                <w:color w:val="000000"/>
                <w:kern w:val="0"/>
                <w:sz w:val="24"/>
                <w:szCs w:val="24"/>
              </w:rPr>
              <w:t>动⾼亮标识分析，教师端可</w:t>
            </w:r>
            <w:r>
              <w:rPr>
                <w:rFonts w:hint="eastAsia" w:ascii="宋体" w:hAnsi="宋体" w:eastAsia="宋体" w:cs="宋体"/>
                <w:color w:val="000000"/>
                <w:kern w:val="0"/>
                <w:sz w:val="24"/>
                <w:szCs w:val="24"/>
                <w:lang w:eastAsia="zh-CN"/>
              </w:rPr>
              <w:t>自</w:t>
            </w:r>
            <w:r>
              <w:rPr>
                <w:rFonts w:hint="eastAsia" w:ascii="宋体" w:hAnsi="宋体" w:eastAsia="宋体" w:cs="宋体"/>
                <w:color w:val="000000"/>
                <w:kern w:val="0"/>
                <w:sz w:val="24"/>
                <w:szCs w:val="24"/>
              </w:rPr>
              <w:t>动统计标注知识点、标注</w:t>
            </w:r>
            <w:r>
              <w:rPr>
                <w:rFonts w:hint="eastAsia" w:ascii="宋体" w:hAnsi="宋体" w:eastAsia="宋体" w:cs="宋体"/>
                <w:color w:val="000000"/>
                <w:kern w:val="0"/>
                <w:sz w:val="24"/>
                <w:szCs w:val="24"/>
                <w:lang w:eastAsia="zh-CN"/>
              </w:rPr>
              <w:t>人</w:t>
            </w:r>
            <w:r>
              <w:rPr>
                <w:rFonts w:hint="eastAsia" w:ascii="宋体" w:hAnsi="宋体" w:eastAsia="宋体" w:cs="宋体"/>
                <w:color w:val="000000"/>
                <w:kern w:val="0"/>
                <w:sz w:val="24"/>
                <w:szCs w:val="24"/>
              </w:rPr>
              <w:t>数，并对导⼊资料下发进⾏跟读训练，可设定</w:t>
            </w:r>
            <w:r>
              <w:rPr>
                <w:rFonts w:hint="eastAsia" w:ascii="宋体" w:hAnsi="宋体" w:eastAsia="宋体" w:cs="宋体"/>
                <w:color w:val="000000"/>
                <w:kern w:val="0"/>
                <w:sz w:val="24"/>
                <w:szCs w:val="24"/>
                <w:lang w:eastAsia="zh-CN"/>
              </w:rPr>
              <w:t>手</w:t>
            </w:r>
            <w:r>
              <w:rPr>
                <w:rFonts w:hint="eastAsia" w:ascii="宋体" w:hAnsi="宋体" w:eastAsia="宋体" w:cs="宋体"/>
                <w:color w:val="000000"/>
                <w:kern w:val="0"/>
                <w:sz w:val="24"/>
                <w:szCs w:val="24"/>
              </w:rPr>
              <w:t>动跟读、</w:t>
            </w:r>
            <w:r>
              <w:rPr>
                <w:rFonts w:hint="eastAsia" w:ascii="宋体" w:hAnsi="宋体" w:eastAsia="宋体" w:cs="宋体"/>
                <w:color w:val="000000"/>
                <w:kern w:val="0"/>
                <w:sz w:val="24"/>
                <w:szCs w:val="24"/>
                <w:lang w:eastAsia="zh-CN"/>
              </w:rPr>
              <w:t>自</w:t>
            </w:r>
            <w:r>
              <w:rPr>
                <w:rFonts w:hint="eastAsia" w:ascii="宋体" w:hAnsi="宋体" w:eastAsia="宋体" w:cs="宋体"/>
                <w:color w:val="000000"/>
                <w:kern w:val="0"/>
                <w:sz w:val="24"/>
                <w:szCs w:val="24"/>
              </w:rPr>
              <w:t>动领读、播放次数、跟读</w:t>
            </w:r>
            <w:r>
              <w:rPr>
                <w:rFonts w:hint="eastAsia" w:ascii="宋体" w:hAnsi="宋体" w:eastAsia="宋体" w:cs="宋体"/>
                <w:color w:val="000000"/>
                <w:kern w:val="0"/>
                <w:sz w:val="24"/>
                <w:szCs w:val="24"/>
                <w:lang w:eastAsia="zh-CN"/>
              </w:rPr>
              <w:t>方</w:t>
            </w:r>
            <w:r>
              <w:rPr>
                <w:rFonts w:hint="eastAsia" w:ascii="宋体" w:hAnsi="宋体" w:eastAsia="宋体" w:cs="宋体"/>
                <w:color w:val="000000"/>
                <w:kern w:val="0"/>
                <w:sz w:val="24"/>
                <w:szCs w:val="24"/>
              </w:rPr>
              <w:t>式，跟读结束后，</w:t>
            </w:r>
            <w:r>
              <w:rPr>
                <w:rFonts w:hint="eastAsia" w:ascii="宋体" w:hAnsi="宋体" w:eastAsia="宋体" w:cs="宋体"/>
                <w:color w:val="000000"/>
                <w:kern w:val="0"/>
                <w:sz w:val="24"/>
                <w:szCs w:val="24"/>
                <w:lang w:eastAsia="zh-CN"/>
              </w:rPr>
              <w:t>自</w:t>
            </w:r>
            <w:r>
              <w:rPr>
                <w:rFonts w:hint="eastAsia" w:ascii="宋体" w:hAnsi="宋体" w:eastAsia="宋体" w:cs="宋体"/>
                <w:color w:val="000000"/>
                <w:kern w:val="0"/>
                <w:sz w:val="24"/>
                <w:szCs w:val="24"/>
              </w:rPr>
              <w:t>动统计跟读结果，并从“完整性”、“准确性”、“韵律性”、“流利度”四个维度进⾏综合评分。</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3.跟读训练：支持学生人机跟读训练，支持设定跟读次数、播放倍速；跟读结束后，自动统计跟读结果，教师可对学生跟读录音进行讲评。</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.听写训练：支持学生听写训练，可以设定听写内容、朗读次数、书写时间；可以自动统计练习结果，教师可以进行讲评。</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.自由复听：支持学生复听训练，设置倍速播放、音量；教师可以查看所有句的复听人次。</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配音：支持选取资料配音和直接配音等多种方式，选择资料配音可以自动匹配当前资料有关主题的资料进行配音，也可按主题、年级、角色个数搜索配音素材，还可以选取本地素材进行配音。配音过程按配音视频中角色人数分组配音，组内成员耳机、话咪声音互通。</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7</w:t>
            </w:r>
            <w:r>
              <w:rPr>
                <w:rFonts w:hint="eastAsia" w:ascii="宋体" w:hAnsi="宋体" w:eastAsia="宋体" w:cs="宋体"/>
                <w:color w:val="000000"/>
                <w:kern w:val="0"/>
                <w:sz w:val="24"/>
                <w:szCs w:val="24"/>
              </w:rPr>
              <w:t>.示范教学：可以选择教师桌面或学生桌面作为示范桌面，示范位学生可以操作示范桌面，非示范位学生可以观看示范桌面上示范学生的实时操作。示范过程中支持老师远程协助。</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屏幕广播：支持将教师机屏幕、本地音视频统一广播至学生机，可进行主显广播和副显广播，并可结合电子画笔等工具辅助教学；支持教师一键对学生机统一远程关机、禁网、黑屏肃静；支持教师远程管控学生电脑屏幕，并且在小组讨论状态下遥控组长屏幕，参与小组讨论。</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9</w:t>
            </w:r>
            <w:r>
              <w:rPr>
                <w:rFonts w:hint="eastAsia" w:ascii="宋体" w:hAnsi="宋体" w:eastAsia="宋体" w:cs="宋体"/>
                <w:color w:val="000000"/>
                <w:kern w:val="0"/>
                <w:sz w:val="24"/>
                <w:szCs w:val="24"/>
              </w:rPr>
              <w:t>.教案AI制作：</w:t>
            </w:r>
            <w:r>
              <w:rPr>
                <w:rFonts w:hint="eastAsia" w:ascii="宋体" w:hAnsi="宋体" w:eastAsia="宋体" w:cs="宋体"/>
                <w:color w:val="000000"/>
                <w:kern w:val="0"/>
                <w:sz w:val="24"/>
                <w:szCs w:val="24"/>
                <w:lang w:eastAsia="zh-CN"/>
              </w:rPr>
              <w:t>人</w:t>
            </w:r>
            <w:r>
              <w:rPr>
                <w:rFonts w:hint="eastAsia" w:ascii="宋体" w:hAnsi="宋体" w:eastAsia="宋体" w:cs="宋体"/>
                <w:color w:val="000000"/>
                <w:kern w:val="0"/>
                <w:sz w:val="24"/>
                <w:szCs w:val="24"/>
              </w:rPr>
              <w:t>持教师从互联</w:t>
            </w:r>
            <w:r>
              <w:rPr>
                <w:rFonts w:hint="eastAsia" w:ascii="宋体" w:hAnsi="宋体" w:eastAsia="宋体" w:cs="宋体"/>
                <w:color w:val="000000"/>
                <w:kern w:val="0"/>
                <w:sz w:val="24"/>
                <w:szCs w:val="24"/>
                <w:lang w:eastAsia="zh-CN"/>
              </w:rPr>
              <w:t>网</w:t>
            </w:r>
            <w:r>
              <w:rPr>
                <w:rFonts w:hint="eastAsia" w:ascii="宋体" w:hAnsi="宋体" w:eastAsia="宋体" w:cs="宋体"/>
                <w:color w:val="000000"/>
                <w:kern w:val="0"/>
                <w:sz w:val="24"/>
                <w:szCs w:val="24"/>
              </w:rPr>
              <w:t>、本地、百度</w:t>
            </w:r>
            <w:r>
              <w:rPr>
                <w:rFonts w:hint="eastAsia" w:ascii="宋体" w:hAnsi="宋体" w:eastAsia="宋体" w:cs="宋体"/>
                <w:color w:val="000000"/>
                <w:kern w:val="0"/>
                <w:sz w:val="24"/>
                <w:szCs w:val="24"/>
                <w:lang w:eastAsia="zh-CN"/>
              </w:rPr>
              <w:t>网</w:t>
            </w:r>
            <w:r>
              <w:rPr>
                <w:rFonts w:hint="eastAsia" w:ascii="宋体" w:hAnsi="宋体" w:eastAsia="宋体" w:cs="宋体"/>
                <w:color w:val="000000"/>
                <w:kern w:val="0"/>
                <w:sz w:val="24"/>
                <w:szCs w:val="24"/>
              </w:rPr>
              <w:t>盘等多种渠道选择导⼊课</w:t>
            </w:r>
            <w:r>
              <w:rPr>
                <w:rFonts w:hint="eastAsia" w:ascii="宋体" w:hAnsi="宋体" w:eastAsia="宋体" w:cs="宋体"/>
                <w:color w:val="000000"/>
                <w:kern w:val="0"/>
                <w:sz w:val="24"/>
                <w:szCs w:val="24"/>
                <w:lang w:eastAsia="zh-CN"/>
              </w:rPr>
              <w:t>文</w:t>
            </w:r>
            <w:r>
              <w:rPr>
                <w:rFonts w:hint="eastAsia" w:ascii="宋体" w:hAnsi="宋体" w:eastAsia="宋体" w:cs="宋体"/>
                <w:color w:val="000000"/>
                <w:kern w:val="0"/>
                <w:sz w:val="24"/>
                <w:szCs w:val="24"/>
              </w:rPr>
              <w:t>制作教案，并根据教师的要求，系统</w:t>
            </w:r>
            <w:r>
              <w:rPr>
                <w:rFonts w:hint="eastAsia" w:ascii="宋体" w:hAnsi="宋体" w:eastAsia="宋体" w:cs="宋体"/>
                <w:color w:val="000000"/>
                <w:kern w:val="0"/>
                <w:sz w:val="24"/>
                <w:szCs w:val="24"/>
                <w:lang w:eastAsia="zh-CN"/>
              </w:rPr>
              <w:t>自</w:t>
            </w:r>
            <w:r>
              <w:rPr>
                <w:rFonts w:hint="eastAsia" w:ascii="宋体" w:hAnsi="宋体" w:eastAsia="宋体" w:cs="宋体"/>
                <w:color w:val="000000"/>
                <w:kern w:val="0"/>
                <w:sz w:val="24"/>
                <w:szCs w:val="24"/>
              </w:rPr>
              <w:t>动提取、⾼亮课</w:t>
            </w:r>
            <w:r>
              <w:rPr>
                <w:rFonts w:hint="eastAsia" w:ascii="宋体" w:hAnsi="宋体" w:eastAsia="宋体" w:cs="宋体"/>
                <w:color w:val="000000"/>
                <w:kern w:val="0"/>
                <w:sz w:val="24"/>
                <w:szCs w:val="24"/>
                <w:lang w:eastAsia="zh-CN"/>
              </w:rPr>
              <w:t>文</w:t>
            </w:r>
            <w:r>
              <w:rPr>
                <w:rFonts w:hint="eastAsia" w:ascii="宋体" w:hAnsi="宋体" w:eastAsia="宋体" w:cs="宋体"/>
                <w:color w:val="000000"/>
                <w:kern w:val="0"/>
                <w:sz w:val="24"/>
                <w:szCs w:val="24"/>
              </w:rPr>
              <w:t>中学</w:t>
            </w:r>
            <w:r>
              <w:rPr>
                <w:rFonts w:hint="eastAsia" w:ascii="宋体" w:hAnsi="宋体" w:eastAsia="宋体" w:cs="宋体"/>
                <w:color w:val="000000"/>
                <w:kern w:val="0"/>
                <w:sz w:val="24"/>
                <w:szCs w:val="24"/>
                <w:lang w:eastAsia="zh-CN"/>
              </w:rPr>
              <w:t>生</w:t>
            </w:r>
            <w:r>
              <w:rPr>
                <w:rFonts w:hint="eastAsia" w:ascii="宋体" w:hAnsi="宋体" w:eastAsia="宋体" w:cs="宋体"/>
                <w:color w:val="000000"/>
                <w:kern w:val="0"/>
                <w:sz w:val="24"/>
                <w:szCs w:val="24"/>
              </w:rPr>
              <w:t>的疑难知识点或新知识点，配备知识点教案，</w:t>
            </w:r>
            <w:r>
              <w:rPr>
                <w:rFonts w:hint="eastAsia" w:ascii="宋体" w:hAnsi="宋体" w:eastAsia="宋体" w:cs="宋体"/>
                <w:color w:val="000000"/>
                <w:kern w:val="0"/>
                <w:sz w:val="24"/>
                <w:szCs w:val="24"/>
                <w:lang w:eastAsia="zh-CN"/>
              </w:rPr>
              <w:t>生</w:t>
            </w:r>
            <w:r>
              <w:rPr>
                <w:rFonts w:hint="eastAsia" w:ascii="宋体" w:hAnsi="宋体" w:eastAsia="宋体" w:cs="宋体"/>
                <w:color w:val="000000"/>
                <w:kern w:val="0"/>
                <w:sz w:val="24"/>
                <w:szCs w:val="24"/>
              </w:rPr>
              <w:t>成针对性的预习作业</w:t>
            </w:r>
            <w:r>
              <w:rPr>
                <w:rFonts w:hint="eastAsia" w:ascii="宋体" w:hAnsi="宋体" w:eastAsia="宋体" w:cs="宋体"/>
                <w:color w:val="000000"/>
                <w:kern w:val="0"/>
                <w:sz w:val="24"/>
                <w:szCs w:val="24"/>
                <w:lang w:eastAsia="zh-CN"/>
              </w:rPr>
              <w:t>。</w:t>
            </w:r>
          </w:p>
          <w:p w14:paraId="6F52B600">
            <w:pPr>
              <w:widowControl/>
              <w:numPr>
                <w:ilvl w:val="0"/>
                <w:numId w:val="0"/>
              </w:numPr>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10.AI英语教材编辑：可根据教师选定的⽔平考试要求，系统显示⽔平考试的主要知识点范围、测试概率、应用要求、分值占比等每个知识点的考试要求，形成某一考试目标的测试知识图谱数字化教材分析：系统按照教师选择的编排模式和主题选择主体课文，实时查看课文选择进度、动态质量分析指数，包含教材⼤纲覆盖率、教材超纲比率、平均相关性、教材内容重复率等，系统自动对重复部分标红，教师可编辑课文，系统自动分析编辑后课文的重复率。</w:t>
            </w:r>
            <w:r>
              <w:rPr>
                <w:rFonts w:hint="eastAsia" w:ascii="宋体" w:hAnsi="宋体" w:eastAsia="宋体" w:cs="宋体"/>
                <w:color w:val="000000"/>
                <w:kern w:val="0"/>
                <w:sz w:val="24"/>
                <w:szCs w:val="24"/>
              </w:rPr>
              <w:t>（需提供相关证明材料）</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rPr>
              <w:t>.英语口译教学模块：可以模拟同声传译/交替传译场景</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可以自动打开录制功能，录制学生译音，学生译音和源音同步录制，音频播放中途可进行复述回放或源音回放;可模拟类似下雨声、会场声、翻页声、脚步声等真实场景干扰音，可以调节音量大小。</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.英语随堂听力、口语、阅读测试模块:教师可选择音频资料、音频文本混合资料制作试题，下发给学生作答，且系统可自动批改并统计学生听力作答结果。</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协作式教学模块：教师可设定具体协作形式的功能，支持将学生分为小组写作、个人写作等形式；可选择系统智能的对学生写作结果进行评估，也可设置小组互评。以小组为单位相互之间对各自的协作成果进行评价打分，支持“多种互评方式。</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.网络化教学口语考试模块：支持制作试卷，并进行考试设置、实施等；考试结果支持考试录音文件保存，可回放考试录音，可实现考试录音学生机本地保存和考试结束后自动上传至教师端双备份。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.电子资源管理模块：学校</w:t>
            </w:r>
            <w:r>
              <w:rPr>
                <w:rFonts w:hint="eastAsia" w:ascii="宋体" w:hAnsi="宋体" w:eastAsia="宋体" w:cs="宋体"/>
                <w:color w:val="000000"/>
                <w:kern w:val="0"/>
                <w:sz w:val="24"/>
                <w:szCs w:val="24"/>
                <w:lang w:val="en-US" w:eastAsia="zh-CN"/>
              </w:rPr>
              <w:t>可</w:t>
            </w:r>
            <w:r>
              <w:rPr>
                <w:rFonts w:hint="eastAsia" w:ascii="宋体" w:hAnsi="宋体" w:eastAsia="宋体" w:cs="宋体"/>
                <w:color w:val="000000"/>
                <w:kern w:val="0"/>
                <w:sz w:val="24"/>
                <w:szCs w:val="24"/>
              </w:rPr>
              <w:t>根据具体需要调整资源建设模板的属性和标签内容；同时能够对系统标签进行添加、删除、检索等</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自习辅导模块：学生自习时，教师可以通过系统查看学生学习情况及资料使用统计情况；学生可查看当前自习进度，可根据进度选择学习内容，可返回上一篇及切换学习资料；教师可通过监视到的学生学习内容及情况对学生进行辅导，支持通过文字对话、语音对话进行辅导。</w:t>
            </w:r>
          </w:p>
          <w:p w14:paraId="4B6D6F99">
            <w:pPr>
              <w:widowControl/>
              <w:numPr>
                <w:ilvl w:val="0"/>
                <w:numId w:val="0"/>
              </w:numPr>
              <w:spacing w:line="360" w:lineRule="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17.自主学习模块：</w:t>
            </w:r>
            <w:r>
              <w:rPr>
                <w:rFonts w:hint="eastAsia" w:ascii="宋体" w:hAnsi="宋体" w:eastAsia="宋体" w:cs="宋体"/>
                <w:color w:val="000000"/>
                <w:kern w:val="0"/>
                <w:sz w:val="24"/>
                <w:szCs w:val="24"/>
              </w:rPr>
              <w:t>可进行听力、阅读、协作等</w:t>
            </w:r>
            <w:r>
              <w:rPr>
                <w:rFonts w:hint="eastAsia" w:ascii="宋体" w:hAnsi="宋体" w:eastAsia="宋体" w:cs="宋体"/>
                <w:color w:val="000000"/>
                <w:kern w:val="0"/>
                <w:sz w:val="24"/>
                <w:szCs w:val="24"/>
                <w:lang w:val="en-US" w:eastAsia="zh-CN"/>
              </w:rPr>
              <w:t>自主</w:t>
            </w:r>
            <w:r>
              <w:rPr>
                <w:rFonts w:hint="eastAsia" w:ascii="宋体" w:hAnsi="宋体" w:eastAsia="宋体" w:cs="宋体"/>
                <w:color w:val="000000"/>
                <w:kern w:val="0"/>
                <w:sz w:val="24"/>
                <w:szCs w:val="24"/>
              </w:rPr>
              <w:t>过关训练以及训练详情查看，可以记录个人足迹、学习行为，包括收藏资料、关注老师、学习资源类型及学习时长、阅览行为等数据。</w:t>
            </w:r>
          </w:p>
          <w:p w14:paraId="5DCE932E">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.远程遥控：支持教师远程管控学生电脑屏幕，并且在小组讨论状态下遥控组长屏幕，参与小组讨论。</w:t>
            </w:r>
          </w:p>
        </w:tc>
        <w:tc>
          <w:tcPr>
            <w:tcW w:w="281" w:type="pct"/>
            <w:shd w:val="clear" w:color="auto" w:fill="auto"/>
            <w:vAlign w:val="center"/>
          </w:tcPr>
          <w:p w14:paraId="117EDF0F">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套</w:t>
            </w:r>
          </w:p>
        </w:tc>
        <w:tc>
          <w:tcPr>
            <w:tcW w:w="289" w:type="pct"/>
            <w:shd w:val="clear" w:color="auto" w:fill="auto"/>
            <w:vAlign w:val="center"/>
          </w:tcPr>
          <w:p w14:paraId="74482B33">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76CE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continue"/>
            <w:shd w:val="clear" w:color="auto" w:fill="auto"/>
            <w:vAlign w:val="center"/>
          </w:tcPr>
          <w:p w14:paraId="4129EC3A">
            <w:pPr>
              <w:widowControl/>
              <w:spacing w:line="360" w:lineRule="auto"/>
              <w:jc w:val="center"/>
              <w:rPr>
                <w:rFonts w:hint="eastAsia" w:ascii="宋体" w:hAnsi="宋体" w:eastAsia="宋体" w:cs="宋体"/>
                <w:color w:val="000000"/>
                <w:kern w:val="0"/>
                <w:sz w:val="24"/>
                <w:szCs w:val="24"/>
              </w:rPr>
            </w:pPr>
          </w:p>
        </w:tc>
        <w:tc>
          <w:tcPr>
            <w:tcW w:w="425" w:type="pct"/>
            <w:vMerge w:val="continue"/>
            <w:shd w:val="clear" w:color="auto" w:fill="auto"/>
            <w:vAlign w:val="center"/>
          </w:tcPr>
          <w:p w14:paraId="1150EA1E">
            <w:pPr>
              <w:widowControl/>
              <w:spacing w:line="360" w:lineRule="auto"/>
              <w:jc w:val="center"/>
              <w:rPr>
                <w:rFonts w:hint="eastAsia" w:ascii="宋体" w:hAnsi="宋体" w:eastAsia="宋体" w:cs="宋体"/>
                <w:color w:val="000000"/>
                <w:kern w:val="0"/>
                <w:sz w:val="24"/>
                <w:szCs w:val="24"/>
              </w:rPr>
            </w:pPr>
          </w:p>
        </w:tc>
        <w:tc>
          <w:tcPr>
            <w:tcW w:w="505" w:type="pct"/>
            <w:shd w:val="clear" w:color="auto" w:fill="auto"/>
            <w:vAlign w:val="center"/>
          </w:tcPr>
          <w:p w14:paraId="02A14023">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汉语言模考与测评平台</w:t>
            </w:r>
          </w:p>
        </w:tc>
        <w:tc>
          <w:tcPr>
            <w:tcW w:w="3208" w:type="pct"/>
            <w:shd w:val="clear" w:color="auto" w:fill="auto"/>
          </w:tcPr>
          <w:p w14:paraId="39282336">
            <w:pPr>
              <w:widowControl/>
              <w:spacing w:line="360" w:lineRule="auto"/>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（一）模拟训练考试模块</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#1.模拟考试：输入姓名学号进行考试、考试题型</w:t>
            </w:r>
            <w:r>
              <w:rPr>
                <w:rFonts w:hint="eastAsia" w:ascii="宋体" w:hAnsi="宋体" w:eastAsia="宋体" w:cs="宋体"/>
                <w:color w:val="000000"/>
                <w:kern w:val="0"/>
                <w:sz w:val="24"/>
                <w:szCs w:val="24"/>
                <w:lang w:val="en-US" w:eastAsia="zh-CN"/>
              </w:rPr>
              <w:t>包括但不限于</w:t>
            </w:r>
            <w:r>
              <w:rPr>
                <w:rFonts w:hint="eastAsia" w:ascii="宋体" w:hAnsi="宋体" w:eastAsia="宋体" w:cs="宋体"/>
                <w:color w:val="000000"/>
                <w:kern w:val="0"/>
                <w:sz w:val="24"/>
                <w:szCs w:val="24"/>
              </w:rPr>
              <w:t>单音节字词、多音节词语、短文朗读、命题说话；具有考试时间提示和时间走势图；模拟训练考试前具有试音功能，包括开始考试和结束考试等。</w:t>
            </w:r>
            <w:r>
              <w:rPr>
                <w:rFonts w:hint="eastAsia" w:ascii="宋体" w:hAnsi="宋体" w:eastAsia="宋体" w:cs="宋体"/>
                <w:color w:val="000000"/>
                <w:kern w:val="0"/>
                <w:sz w:val="24"/>
                <w:szCs w:val="24"/>
                <w:lang w:eastAsia="zh-CN"/>
              </w:rPr>
              <w:t>（提供现场演示）</w:t>
            </w:r>
          </w:p>
          <w:p w14:paraId="21DFBA71">
            <w:pPr>
              <w:widowControl/>
              <w:numPr>
                <w:ilvl w:val="0"/>
                <w:numId w:val="3"/>
              </w:numPr>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提供普通话命题说话范文≥60篇及普通话短文朗读训练≥50篇、具有示范音频和自由调节音量大小、自由调节文本进度有快速、标准、低速、手动提供选择；测试功能点击开始朗读/结束朗读后提供录音试听、重录、提交后输入姓名学号上传到服务器进行评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水平测试真题试卷：具有国家普通话水平测试真题试卷不少于50题、具有单音节字词、多音节词语、短文朗读打开或关闭拼音功能组成；测试功能点击开始朗读/结束朗读后提供录音试听、重录、提交后输入姓名学号上传到服务器进行评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4.支持学生按照考试流程、指令完成考试步骤；支持学生自由启动考试模拟训练，支持模拟试卷数据导出PDF格式。</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支持评测分析报告，根据题型试卷进行评测并查看数据报表；可以提供每次考试的总分、答题分，支持提供精准度、流利度等更细化的数据列表；成绩查询管理支持查看最新的课堂训练统计报告，报告中可以查看标题、准确度、完整度、流利度、综合得分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（二）读音训练评测模块</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1.读音训练评测包括词语表（一）词语表（二）易错字、形近字、生僻字、多音字、轻声细语等功能；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2.词语表一选自《普通话水平测试用普通话词语表（表一）》、具有常用词内容</w:t>
            </w:r>
            <w:r>
              <w:rPr>
                <w:rFonts w:hint="eastAsia" w:ascii="宋体" w:hAnsi="宋体" w:eastAsia="宋体" w:cs="宋体"/>
                <w:color w:val="000000"/>
                <w:kern w:val="0"/>
                <w:sz w:val="24"/>
                <w:szCs w:val="24"/>
                <w:lang w:val="en-US" w:eastAsia="zh-CN"/>
              </w:rPr>
              <w:t>≥</w:t>
            </w:r>
            <w:r>
              <w:rPr>
                <w:rFonts w:hint="eastAsia" w:ascii="宋体" w:hAnsi="宋体" w:eastAsia="宋体" w:cs="宋体"/>
                <w:color w:val="000000"/>
                <w:kern w:val="0"/>
                <w:sz w:val="24"/>
                <w:szCs w:val="24"/>
              </w:rPr>
              <w:t>6</w:t>
            </w:r>
            <w:r>
              <w:rPr>
                <w:rFonts w:hint="eastAsia" w:ascii="宋体" w:hAnsi="宋体" w:eastAsia="宋体" w:cs="宋体"/>
                <w:color w:val="000000"/>
                <w:kern w:val="0"/>
                <w:sz w:val="24"/>
                <w:szCs w:val="24"/>
                <w:lang w:eastAsia="zh-CN"/>
              </w:rPr>
              <w:t>0</w:t>
            </w:r>
            <w:r>
              <w:rPr>
                <w:rFonts w:hint="eastAsia" w:ascii="宋体" w:hAnsi="宋体" w:eastAsia="宋体" w:cs="宋体"/>
                <w:color w:val="000000"/>
                <w:kern w:val="0"/>
                <w:sz w:val="24"/>
                <w:szCs w:val="24"/>
              </w:rPr>
              <w:t>套；词语表二选自《普通话水平测试用普通话词语表（表二）》、具有常用词内容</w:t>
            </w:r>
            <w:r>
              <w:rPr>
                <w:rFonts w:hint="eastAsia" w:ascii="宋体" w:hAnsi="宋体" w:eastAsia="宋体" w:cs="宋体"/>
                <w:color w:val="000000"/>
                <w:kern w:val="0"/>
                <w:sz w:val="24"/>
                <w:szCs w:val="24"/>
                <w:lang w:val="en-US" w:eastAsia="zh-CN"/>
              </w:rPr>
              <w:t>≥</w:t>
            </w:r>
            <w:r>
              <w:rPr>
                <w:rFonts w:hint="eastAsia" w:ascii="宋体" w:hAnsi="宋体" w:eastAsia="宋体" w:cs="宋体"/>
                <w:color w:val="000000"/>
                <w:kern w:val="0"/>
                <w:sz w:val="24"/>
                <w:szCs w:val="24"/>
              </w:rPr>
              <w:t>10</w:t>
            </w:r>
            <w:r>
              <w:rPr>
                <w:rFonts w:hint="eastAsia" w:ascii="宋体" w:hAnsi="宋体" w:eastAsia="宋体" w:cs="宋体"/>
                <w:color w:val="000000"/>
                <w:kern w:val="0"/>
                <w:sz w:val="24"/>
                <w:szCs w:val="24"/>
                <w:lang w:val="en-US" w:eastAsia="zh-CN"/>
              </w:rPr>
              <w:t>0</w:t>
            </w:r>
            <w:r>
              <w:rPr>
                <w:rFonts w:hint="eastAsia" w:ascii="宋体" w:hAnsi="宋体" w:eastAsia="宋体" w:cs="宋体"/>
                <w:color w:val="000000"/>
                <w:kern w:val="0"/>
                <w:sz w:val="24"/>
                <w:szCs w:val="24"/>
              </w:rPr>
              <w:t>套，具有示范音频、评测、打开关闭拼音功能。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3.普通话常用形近字≥10套、易错词语表≥18套、生僻字词语表≥</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套、多音字词语表≥15套、轻声词语表≥</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套，内容具有示范音频、普通话评测、打开关闭拼音功能。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支持读音训练可以提供数据报表、评测得分；数据报表具有精准度、流利度等更细化的数据反馈；评测分析报告，根据题型进行评测并支持查看数据报表；模拟训练结束后，并将数据保存提交、传到服务器进行评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系统自动收集学生读音训练数据包、评测得分等情况；学生训练过程中，教师可以实际看到学生提交的情况并可查看评测情况和录音试听；可对读音评测活动产生数据进行统计，包括数量统计，并展示数据列表。还可查看评测内容，包括总分数、流畅度、流利度，完整度等统计。</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（三）发音专项模块</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1.具有多音节、单音节、儿化音、声调、声母字词、韵母字词、声母韵母表；发音专项具有名家示范，跟读练习，提交，保存，试听，重录，评测，录音保存等功能。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2.普通话必考多音节≥4</w:t>
            </w:r>
            <w:r>
              <w:rPr>
                <w:rFonts w:hint="eastAsia" w:ascii="宋体" w:hAnsi="宋体" w:eastAsia="宋体" w:cs="宋体"/>
                <w:color w:val="000000"/>
                <w:kern w:val="0"/>
                <w:sz w:val="24"/>
                <w:szCs w:val="24"/>
                <w:lang w:val="en-US" w:eastAsia="zh-CN"/>
              </w:rPr>
              <w:t>0</w:t>
            </w:r>
            <w:r>
              <w:rPr>
                <w:rFonts w:hint="eastAsia" w:ascii="宋体" w:hAnsi="宋体" w:eastAsia="宋体" w:cs="宋体"/>
                <w:color w:val="000000"/>
                <w:kern w:val="0"/>
                <w:sz w:val="24"/>
                <w:szCs w:val="24"/>
              </w:rPr>
              <w:t>套列表内容，内容具有示范音频、普通话评测、打开关闭拼音功能；声母、韵母发音训练：具有名家发音示范，发音理论讲解，跟读练习，录音保存等；</w:t>
            </w:r>
          </w:p>
          <w:p w14:paraId="2B264ADF">
            <w:pPr>
              <w:widowControl/>
              <w:spacing w:line="360" w:lineRule="auto"/>
              <w:rPr>
                <w:rFonts w:hint="eastAsia" w:ascii="宋体" w:hAnsi="宋体" w:eastAsia="宋体" w:cs="宋体"/>
                <w:color w:val="000000"/>
                <w:kern w:val="0"/>
                <w:sz w:val="24"/>
                <w:szCs w:val="24"/>
                <w:highlight w:val="yellow"/>
                <w:lang w:eastAsia="zh-CN"/>
              </w:rPr>
            </w:pPr>
            <w:r>
              <w:rPr>
                <w:rFonts w:hint="eastAsia" w:ascii="宋体" w:hAnsi="宋体" w:eastAsia="宋体" w:cs="宋体"/>
                <w:color w:val="000000"/>
                <w:kern w:val="0"/>
                <w:sz w:val="24"/>
                <w:szCs w:val="24"/>
              </w:rPr>
              <w:t>▲3.支持声母、韵母发音训练，具有名家发音示范，发音理论讲解，跟读练习，录音保存等；可进行发音专项成绩查询，学生根据个人学习情况，可通过姓名或学号查询个人学习成绩表。</w:t>
            </w:r>
            <w:r>
              <w:rPr>
                <w:rFonts w:hint="eastAsia" w:ascii="宋体" w:hAnsi="宋体" w:eastAsia="宋体" w:cs="宋体"/>
                <w:color w:val="000000"/>
                <w:kern w:val="0"/>
                <w:sz w:val="24"/>
                <w:szCs w:val="24"/>
                <w:highlight w:val="none"/>
                <w:lang w:eastAsia="zh-CN"/>
              </w:rPr>
              <w:t>（需提供相关证明材料）</w:t>
            </w:r>
          </w:p>
          <w:p w14:paraId="460F4ED2">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声母字词发音专项：具有双唇音、舌尖后音、舌尖前音、平舌音、舌面音、鼻边音、翘舌音。功能具有名家示范，朗读保存，跟读练习；韵母字词发音专项：具有前鼻韵母、后鼻韵母、复韵母、单韵母。功能具有名家示范，朗读保存，跟读练习；</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发音专项数据统计，包括评测详细、列表展现。还可查看评测内容，包括准确度，完整度，流利度，综合得分等统计；声调、多音节、单音节、儿化音训练结束后，系统自动上传状态数据和答卷包，并将数据保存提交、传到服务器进行评测</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（四）朗读资源库模块</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1.具有唐诗宋词元曲、必读古诗、同步教材、精选散文、中华经典、寓言故事、国学经典、红色家书、学习强国，名家名著、毛泽东诗词等资源。</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w:t>
            </w:r>
            <w:r>
              <w:rPr>
                <w:rFonts w:hint="eastAsia" w:ascii="宋体" w:hAnsi="宋体" w:eastAsia="宋体" w:cs="宋体"/>
                <w:color w:val="000000"/>
                <w:kern w:val="0"/>
                <w:sz w:val="24"/>
                <w:szCs w:val="24"/>
                <w:lang w:val="en-US" w:eastAsia="zh-CN"/>
              </w:rPr>
              <w:t>提供</w:t>
            </w:r>
            <w:r>
              <w:rPr>
                <w:rFonts w:hint="eastAsia" w:ascii="宋体" w:hAnsi="宋体" w:eastAsia="宋体" w:cs="宋体"/>
                <w:color w:val="000000"/>
                <w:kern w:val="0"/>
                <w:sz w:val="24"/>
                <w:szCs w:val="24"/>
              </w:rPr>
              <w:t>古诗合集≥1300首</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内容具有示范音频；提供作家和作品名智能搜索；</w:t>
            </w:r>
            <w:r>
              <w:rPr>
                <w:rFonts w:hint="eastAsia" w:ascii="宋体" w:hAnsi="宋体" w:eastAsia="宋体" w:cs="宋体"/>
                <w:color w:val="000000"/>
                <w:kern w:val="0"/>
                <w:sz w:val="24"/>
                <w:szCs w:val="24"/>
                <w:lang w:val="en-US" w:eastAsia="zh-CN"/>
              </w:rPr>
              <w:t>提供</w:t>
            </w:r>
            <w:r>
              <w:rPr>
                <w:rFonts w:hint="eastAsia" w:ascii="宋体" w:hAnsi="宋体" w:eastAsia="宋体" w:cs="宋体"/>
                <w:color w:val="000000"/>
                <w:kern w:val="0"/>
                <w:sz w:val="24"/>
                <w:szCs w:val="24"/>
              </w:rPr>
              <w:t>散文文章≥250篇、绕口令文章≥110篇；具有示范音频和自由调节音量大小、自由调节文本进度有快速、标准、低速、手动提供选择；提供作家和作品名智能搜索。</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用户可以在后台资源模块和资源分类自主导入用户需要推广和传播的文本资源、音频资源等素材，系统支持素材的分类管理操作。后台资源导入成功后，在客户端页面可以对导入的素材资源进行阅读浏览、朗读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（五）后台数据管理模块</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1.可根据工作需要开通用户权限，并获取账号及密码；可对语音训练，模拟考试评测活动产生数据进行统计，姓名、学号、标题、准确度、完整度、流利度、综合得分组成。</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采购人可上传自己的专属文库资源，上传分类包括但不限于普通话资源上传、中文读音训练、中文模拟考试、唐诗宋词、经典诵读、同步教材上传等；可上传各种不同风格主题的音乐，通过后台数据可查看学生评测内容，包括准确度，完整度，流利度，综合得分等统计。</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3.资源上传功能：包括标题、类型、朝代、作者、内容等标签；可自由选择类型分类上传、编辑、删除。</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提供语音训练，模拟考试朗读评分和数据报表，后台支持数据报表查询；管理员可查看普通话智能评测机来源的所有考试试卷数量及详细列表，具体包括：作品内容标题、读者昵称、学号，姓名等信息。同时在成绩查询处对作品进行下载导出评分表等；可对语音训练，模拟考试评测活动产生数据进行统计，包括评测详细、列表展现。</w:t>
            </w:r>
          </w:p>
        </w:tc>
        <w:tc>
          <w:tcPr>
            <w:tcW w:w="281" w:type="pct"/>
            <w:shd w:val="clear" w:color="auto" w:fill="auto"/>
            <w:vAlign w:val="center"/>
          </w:tcPr>
          <w:p w14:paraId="7DC63E6A">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套</w:t>
            </w:r>
          </w:p>
        </w:tc>
        <w:tc>
          <w:tcPr>
            <w:tcW w:w="289" w:type="pct"/>
            <w:shd w:val="clear" w:color="auto" w:fill="auto"/>
            <w:vAlign w:val="center"/>
          </w:tcPr>
          <w:p w14:paraId="202B8103">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4409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restart"/>
            <w:shd w:val="clear" w:color="auto" w:fill="auto"/>
            <w:vAlign w:val="center"/>
          </w:tcPr>
          <w:p w14:paraId="2FDD5623">
            <w:pPr>
              <w:widowControl/>
              <w:spacing w:line="360" w:lineRule="auto"/>
              <w:jc w:val="center"/>
              <w:rPr>
                <w:rFonts w:hint="eastAsia" w:ascii="宋体" w:hAnsi="宋体" w:eastAsia="宋体" w:cs="宋体"/>
                <w:color w:val="000000"/>
                <w:kern w:val="0"/>
                <w:sz w:val="24"/>
                <w:szCs w:val="24"/>
              </w:rPr>
            </w:pPr>
          </w:p>
          <w:p w14:paraId="45B4BDCB">
            <w:pPr>
              <w:widowControl/>
              <w:spacing w:line="360" w:lineRule="auto"/>
              <w:jc w:val="center"/>
              <w:rPr>
                <w:rFonts w:hint="eastAsia" w:ascii="宋体" w:hAnsi="宋体" w:eastAsia="宋体" w:cs="宋体"/>
                <w:color w:val="000000"/>
                <w:kern w:val="0"/>
                <w:sz w:val="24"/>
                <w:szCs w:val="24"/>
              </w:rPr>
            </w:pPr>
          </w:p>
          <w:p w14:paraId="1EDF686E">
            <w:pPr>
              <w:widowControl/>
              <w:spacing w:line="360"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3</w:t>
            </w:r>
          </w:p>
        </w:tc>
        <w:tc>
          <w:tcPr>
            <w:tcW w:w="425" w:type="pct"/>
            <w:vMerge w:val="restart"/>
            <w:shd w:val="clear" w:color="auto" w:fill="auto"/>
            <w:vAlign w:val="center"/>
          </w:tcPr>
          <w:p w14:paraId="59900ED8">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语言实训融合教学设备</w:t>
            </w:r>
          </w:p>
          <w:p w14:paraId="6906A1C2">
            <w:pPr>
              <w:widowControl/>
              <w:spacing w:line="360" w:lineRule="auto"/>
              <w:jc w:val="center"/>
              <w:rPr>
                <w:rFonts w:hint="eastAsia" w:ascii="宋体" w:hAnsi="宋体" w:eastAsia="宋体" w:cs="宋体"/>
                <w:color w:val="000000"/>
                <w:kern w:val="0"/>
                <w:sz w:val="24"/>
                <w:szCs w:val="24"/>
                <w:lang w:val="en-US" w:eastAsia="zh-CN"/>
              </w:rPr>
            </w:pPr>
          </w:p>
        </w:tc>
        <w:tc>
          <w:tcPr>
            <w:tcW w:w="505" w:type="pct"/>
            <w:shd w:val="clear" w:color="auto" w:fill="auto"/>
            <w:vAlign w:val="center"/>
          </w:tcPr>
          <w:p w14:paraId="798283B3">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语言实训网络控制终端</w:t>
            </w:r>
          </w:p>
        </w:tc>
        <w:tc>
          <w:tcPr>
            <w:tcW w:w="3208" w:type="pct"/>
            <w:shd w:val="clear" w:color="auto" w:fill="auto"/>
            <w:vAlign w:val="center"/>
          </w:tcPr>
          <w:p w14:paraId="6DA42D3C">
            <w:pPr>
              <w:widowControl/>
              <w:spacing w:line="360" w:lineRule="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1.主机采用无风扇、无噪音，2U 标准工业金属机箱。</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2.系统支持可编程液晶触摸屏面板接入，并具备系统开锁和解锁功能。</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3.控制协议：采用RS232、TCP 等协议。</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lang w:val="en-US" w:eastAsia="zh-CN"/>
              </w:rPr>
              <w:t>4</w:t>
            </w:r>
            <w:r>
              <w:rPr>
                <w:rFonts w:hint="eastAsia" w:ascii="宋体" w:hAnsi="宋体" w:eastAsia="宋体" w:cs="宋体"/>
                <w:color w:val="000000"/>
                <w:kern w:val="0"/>
                <w:sz w:val="24"/>
                <w:szCs w:val="24"/>
                <w:highlight w:val="none"/>
              </w:rPr>
              <w:t>.高清接口和通讯端口：具备≥4 路HDMI输入 、≥2 路HDMI输出；≥1 路音频输入，≥1 路麦克风输入接口，≥1 路音频输出，≥2 路60W 数字功放输出。≥2 路USB 接口，≥10 路控制串口（RS232＋RS485）。</w:t>
            </w:r>
            <w:r>
              <w:rPr>
                <w:rFonts w:hint="eastAsia" w:ascii="宋体" w:hAnsi="宋体" w:eastAsia="宋体" w:cs="宋体"/>
                <w:color w:val="000000"/>
                <w:kern w:val="0"/>
                <w:sz w:val="24"/>
                <w:szCs w:val="24"/>
                <w:highlight w:val="yellow"/>
              </w:rPr>
              <w:br w:type="textWrapping"/>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.检测和弱电端口：支持≥3 路数字I/O 接口，可接人体感知、断线报警等开关量传感设备。≥1 路IR 红外控制接口。≥2 路电脑物理开关接口。≥5 路12V/3A 常供电输出，≥5 路12V/3A可控供电输出。</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lang w:val="en-US" w:eastAsia="zh-CN"/>
              </w:rPr>
              <w:t>6</w:t>
            </w:r>
            <w:r>
              <w:rPr>
                <w:rFonts w:hint="eastAsia" w:ascii="宋体" w:hAnsi="宋体" w:eastAsia="宋体" w:cs="宋体"/>
                <w:color w:val="000000"/>
                <w:kern w:val="0"/>
                <w:sz w:val="24"/>
                <w:szCs w:val="24"/>
                <w:highlight w:val="none"/>
              </w:rPr>
              <w:t>.强电输出接口：≥4 路10A/220V 强电输出。</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lang w:val="en-US" w:eastAsia="zh-CN"/>
              </w:rPr>
              <w:t>7</w:t>
            </w:r>
            <w:r>
              <w:rPr>
                <w:rFonts w:hint="eastAsia" w:ascii="宋体" w:hAnsi="宋体" w:eastAsia="宋体" w:cs="宋体"/>
                <w:color w:val="000000"/>
                <w:kern w:val="0"/>
                <w:sz w:val="24"/>
                <w:szCs w:val="24"/>
                <w:highlight w:val="none"/>
              </w:rPr>
              <w:t>.可支持对文字、图片、媒体文件、直播流进行实时和排程实现全区或分区广播。文字广播支持按坐标按方向走字显示，图片、媒体文件和直播流支持全屏显示。</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lang w:val="en-US" w:eastAsia="zh-CN"/>
              </w:rPr>
              <w:t>8</w:t>
            </w:r>
            <w:r>
              <w:rPr>
                <w:rFonts w:hint="eastAsia" w:ascii="宋体" w:hAnsi="宋体" w:eastAsia="宋体" w:cs="宋体"/>
                <w:color w:val="000000"/>
                <w:kern w:val="0"/>
                <w:sz w:val="24"/>
                <w:szCs w:val="24"/>
                <w:highlight w:val="none"/>
              </w:rPr>
              <w:t>.可支持对电脑画面和声音采集编码、传输、录制和转播。</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lang w:val="en-US" w:eastAsia="zh-CN"/>
              </w:rPr>
              <w:t>9</w:t>
            </w:r>
            <w:r>
              <w:rPr>
                <w:rFonts w:hint="eastAsia" w:ascii="宋体" w:hAnsi="宋体" w:eastAsia="宋体" w:cs="宋体"/>
                <w:color w:val="000000"/>
                <w:kern w:val="0"/>
                <w:sz w:val="24"/>
                <w:szCs w:val="24"/>
                <w:highlight w:val="none"/>
              </w:rPr>
              <w:t>.配备≥7</w:t>
            </w:r>
            <w:r>
              <w:rPr>
                <w:rFonts w:hint="eastAsia" w:ascii="宋体" w:hAnsi="宋体" w:eastAsia="宋体" w:cs="宋体"/>
                <w:color w:val="000000"/>
                <w:kern w:val="0"/>
                <w:sz w:val="24"/>
                <w:szCs w:val="24"/>
                <w:highlight w:val="none"/>
                <w:lang w:val="en-US" w:eastAsia="zh-CN"/>
              </w:rPr>
              <w:t>吋</w:t>
            </w:r>
            <w:r>
              <w:rPr>
                <w:rFonts w:hint="eastAsia" w:ascii="宋体" w:hAnsi="宋体" w:eastAsia="宋体" w:cs="宋体"/>
                <w:color w:val="000000"/>
                <w:kern w:val="0"/>
                <w:sz w:val="24"/>
                <w:szCs w:val="24"/>
                <w:highlight w:val="none"/>
              </w:rPr>
              <w:t>电容式触摸屏，</w:t>
            </w:r>
            <w:r>
              <w:rPr>
                <w:rFonts w:hint="eastAsia" w:ascii="宋体" w:hAnsi="宋体" w:eastAsia="宋体" w:cs="宋体"/>
                <w:color w:val="000000"/>
                <w:kern w:val="0"/>
                <w:sz w:val="24"/>
                <w:szCs w:val="24"/>
                <w:highlight w:val="none"/>
                <w:lang w:val="en-US" w:eastAsia="zh-CN"/>
              </w:rPr>
              <w:t>参入要求如下：</w:t>
            </w:r>
            <w:r>
              <w:rPr>
                <w:rFonts w:hint="eastAsia" w:ascii="宋体" w:hAnsi="宋体" w:eastAsia="宋体" w:cs="宋体"/>
                <w:color w:val="000000"/>
                <w:kern w:val="0"/>
                <w:sz w:val="24"/>
                <w:szCs w:val="24"/>
                <w:highlight w:val="none"/>
              </w:rPr>
              <w:t>≥1路RS232控制接口，≥2路RS485控制接口，≥1路以太网接口,≥1路USB接口；可进行可视化编程，可快速制作符合多种系统的应用工程。</w:t>
            </w:r>
            <w:r>
              <w:rPr>
                <w:rFonts w:hint="eastAsia" w:ascii="宋体" w:hAnsi="宋体" w:eastAsia="宋体" w:cs="宋体"/>
                <w:color w:val="000000"/>
                <w:kern w:val="0"/>
                <w:sz w:val="24"/>
                <w:szCs w:val="24"/>
                <w:highlight w:val="none"/>
              </w:rPr>
              <w:br w:type="textWrapping"/>
            </w:r>
            <w:r>
              <w:rPr>
                <w:rFonts w:hint="eastAsia"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lang w:val="en-US" w:eastAsia="zh-CN"/>
              </w:rPr>
              <w:t>0</w:t>
            </w:r>
            <w:r>
              <w:rPr>
                <w:rFonts w:hint="eastAsia" w:ascii="宋体" w:hAnsi="宋体" w:eastAsia="宋体" w:cs="宋体"/>
                <w:color w:val="000000"/>
                <w:kern w:val="0"/>
                <w:sz w:val="24"/>
                <w:szCs w:val="24"/>
                <w:highlight w:val="none"/>
              </w:rPr>
              <w:t>.需与采购人现有多媒体</w:t>
            </w:r>
            <w:r>
              <w:rPr>
                <w:rFonts w:hint="eastAsia" w:ascii="宋体" w:hAnsi="宋体" w:eastAsia="宋体" w:cs="宋体"/>
                <w:color w:val="000000"/>
                <w:kern w:val="0"/>
                <w:sz w:val="24"/>
                <w:szCs w:val="24"/>
                <w:highlight w:val="none"/>
                <w:lang w:val="en-US" w:eastAsia="zh-CN"/>
              </w:rPr>
              <w:t>管理</w:t>
            </w:r>
            <w:r>
              <w:rPr>
                <w:rFonts w:hint="eastAsia" w:ascii="宋体" w:hAnsi="宋体" w:eastAsia="宋体" w:cs="宋体"/>
                <w:color w:val="000000"/>
                <w:kern w:val="0"/>
                <w:sz w:val="24"/>
                <w:szCs w:val="24"/>
                <w:highlight w:val="none"/>
              </w:rPr>
              <w:t>平台</w:t>
            </w:r>
            <w:r>
              <w:rPr>
                <w:rFonts w:hint="eastAsia" w:ascii="宋体" w:hAnsi="宋体" w:eastAsia="宋体" w:cs="宋体"/>
                <w:color w:val="000000"/>
                <w:kern w:val="0"/>
                <w:sz w:val="24"/>
                <w:szCs w:val="24"/>
                <w:highlight w:val="none"/>
                <w:lang w:val="en-US" w:eastAsia="zh-CN"/>
              </w:rPr>
              <w:t>对接</w:t>
            </w:r>
            <w:r>
              <w:rPr>
                <w:rFonts w:hint="eastAsia"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纳入采购人</w:t>
            </w:r>
            <w:r>
              <w:rPr>
                <w:rFonts w:hint="eastAsia" w:ascii="宋体" w:hAnsi="宋体" w:eastAsia="宋体" w:cs="宋体"/>
                <w:color w:val="000000"/>
                <w:kern w:val="0"/>
                <w:sz w:val="24"/>
                <w:szCs w:val="24"/>
                <w:highlight w:val="none"/>
              </w:rPr>
              <w:t>统一运维管理、在线巡课</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lang w:val="en-US" w:eastAsia="zh-CN"/>
              </w:rPr>
              <w:t>在响应文件中</w:t>
            </w:r>
            <w:r>
              <w:rPr>
                <w:rFonts w:hint="eastAsia" w:ascii="宋体" w:hAnsi="宋体" w:eastAsia="宋体" w:cs="宋体"/>
                <w:color w:val="000000"/>
                <w:kern w:val="0"/>
                <w:sz w:val="24"/>
                <w:szCs w:val="24"/>
                <w:highlight w:val="none"/>
              </w:rPr>
              <w:t>提供对接方案。</w:t>
            </w:r>
          </w:p>
        </w:tc>
        <w:tc>
          <w:tcPr>
            <w:tcW w:w="281" w:type="pct"/>
            <w:shd w:val="clear" w:color="auto" w:fill="auto"/>
            <w:vAlign w:val="center"/>
          </w:tcPr>
          <w:p w14:paraId="04EB14B9">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套</w:t>
            </w:r>
          </w:p>
        </w:tc>
        <w:tc>
          <w:tcPr>
            <w:tcW w:w="289" w:type="pct"/>
            <w:shd w:val="clear" w:color="auto" w:fill="auto"/>
            <w:vAlign w:val="center"/>
          </w:tcPr>
          <w:p w14:paraId="7C48FEE3">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0EBF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continue"/>
            <w:shd w:val="clear" w:color="auto" w:fill="auto"/>
            <w:vAlign w:val="center"/>
          </w:tcPr>
          <w:p w14:paraId="6A07E31B">
            <w:pPr>
              <w:widowControl/>
              <w:spacing w:line="360" w:lineRule="auto"/>
              <w:jc w:val="center"/>
              <w:rPr>
                <w:rFonts w:hint="eastAsia" w:ascii="宋体" w:hAnsi="宋体" w:eastAsia="宋体" w:cs="宋体"/>
                <w:color w:val="000000"/>
                <w:kern w:val="0"/>
                <w:sz w:val="24"/>
                <w:szCs w:val="24"/>
              </w:rPr>
            </w:pPr>
          </w:p>
        </w:tc>
        <w:tc>
          <w:tcPr>
            <w:tcW w:w="425" w:type="pct"/>
            <w:vMerge w:val="continue"/>
            <w:shd w:val="clear" w:color="auto" w:fill="auto"/>
            <w:vAlign w:val="center"/>
          </w:tcPr>
          <w:p w14:paraId="64CCCAE0">
            <w:pPr>
              <w:widowControl/>
              <w:spacing w:line="360" w:lineRule="auto"/>
              <w:jc w:val="center"/>
              <w:rPr>
                <w:rFonts w:hint="eastAsia" w:ascii="宋体" w:hAnsi="宋体" w:eastAsia="宋体" w:cs="宋体"/>
                <w:color w:val="000000"/>
                <w:kern w:val="0"/>
                <w:sz w:val="24"/>
                <w:szCs w:val="24"/>
                <w:lang w:val="en-US" w:eastAsia="zh-CN"/>
              </w:rPr>
            </w:pPr>
          </w:p>
        </w:tc>
        <w:tc>
          <w:tcPr>
            <w:tcW w:w="505" w:type="pct"/>
            <w:shd w:val="clear" w:color="auto" w:fill="auto"/>
            <w:vAlign w:val="center"/>
          </w:tcPr>
          <w:p w14:paraId="7C1A6BE5">
            <w:pPr>
              <w:widowControl/>
              <w:spacing w:line="360" w:lineRule="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语言实训交互书写设备</w:t>
            </w:r>
          </w:p>
        </w:tc>
        <w:tc>
          <w:tcPr>
            <w:tcW w:w="3208" w:type="pct"/>
            <w:shd w:val="clear" w:color="auto" w:fill="auto"/>
            <w:vAlign w:val="center"/>
          </w:tcPr>
          <w:p w14:paraId="4D9BCC1F">
            <w:pPr>
              <w:widowControl/>
              <w:numPr>
                <w:ilvl w:val="0"/>
                <w:numId w:val="4"/>
              </w:numPr>
              <w:spacing w:line="360" w:lineRule="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rPr>
              <w:t>整体</w:t>
            </w:r>
            <w:r>
              <w:rPr>
                <w:rFonts w:hint="eastAsia" w:ascii="宋体" w:hAnsi="宋体" w:eastAsia="宋体" w:cs="宋体"/>
                <w:color w:val="000000"/>
                <w:kern w:val="0"/>
                <w:sz w:val="24"/>
                <w:szCs w:val="24"/>
                <w:highlight w:val="none"/>
                <w:lang w:val="en-US" w:eastAsia="zh-CN"/>
              </w:rPr>
              <w:t>三拼接一体化设计副屏过渡平滑，中间无单独边框阻隔，主屏幕</w:t>
            </w:r>
            <w:r>
              <w:rPr>
                <w:rFonts w:hint="eastAsia"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86</w:t>
            </w:r>
            <w:r>
              <w:rPr>
                <w:rFonts w:hint="eastAsia" w:ascii="宋体" w:hAnsi="宋体" w:eastAsia="宋体" w:cs="宋体"/>
                <w:color w:val="000000"/>
                <w:kern w:val="0"/>
                <w:sz w:val="24"/>
                <w:szCs w:val="24"/>
                <w:highlight w:val="none"/>
              </w:rPr>
              <w:t>英寸液晶显</w:t>
            </w:r>
            <w:r>
              <w:rPr>
                <w:rFonts w:hint="eastAsia" w:ascii="宋体" w:hAnsi="宋体" w:eastAsia="宋体" w:cs="宋体"/>
                <w:color w:val="000000"/>
                <w:kern w:val="0"/>
                <w:sz w:val="24"/>
                <w:szCs w:val="24"/>
                <w:highlight w:val="none"/>
                <w:lang w:val="en-US" w:eastAsia="zh-CN"/>
              </w:rPr>
              <w:t>示器，钢化玻璃表面硬度≥9H，副屏支持普通粉笔直接书写，具有磁吸附功能；采用电容触控方式，支持≥50点触控。</w:t>
            </w:r>
            <w:r>
              <w:rPr>
                <w:rFonts w:hint="eastAsia" w:ascii="宋体" w:hAnsi="宋体" w:eastAsia="宋体" w:cs="宋体"/>
                <w:color w:val="000000"/>
                <w:kern w:val="0"/>
                <w:sz w:val="24"/>
                <w:szCs w:val="24"/>
                <w:highlight w:val="none"/>
                <w:lang w:val="en-US" w:eastAsia="zh-CN"/>
              </w:rPr>
              <w:br w:type="textWrapping"/>
            </w:r>
            <w:r>
              <w:rPr>
                <w:rFonts w:hint="eastAsia" w:ascii="宋体" w:hAnsi="宋体" w:eastAsia="宋体" w:cs="宋体"/>
                <w:color w:val="000000"/>
                <w:kern w:val="0"/>
                <w:sz w:val="24"/>
                <w:szCs w:val="24"/>
                <w:highlight w:val="none"/>
                <w:lang w:val="en-US" w:eastAsia="zh-CN"/>
              </w:rPr>
              <w:t>2.设备内置扬声器，额定总功率≥80W；内置阵列麦克风，拾音角度≥180°，内置摄像头可拍摄≥1600万像素的照片</w:t>
            </w:r>
            <w:bookmarkStart w:id="0" w:name="_GoBack"/>
            <w:bookmarkEnd w:id="0"/>
            <w:r>
              <w:rPr>
                <w:rFonts w:hint="eastAsia" w:ascii="宋体" w:hAnsi="宋体" w:eastAsia="宋体" w:cs="宋体"/>
                <w:color w:val="000000"/>
                <w:kern w:val="0"/>
                <w:sz w:val="24"/>
                <w:szCs w:val="24"/>
                <w:highlight w:val="none"/>
                <w:lang w:val="en-US" w:eastAsia="zh-CN"/>
              </w:rPr>
              <w:t>。</w:t>
            </w:r>
            <w:r>
              <w:rPr>
                <w:rFonts w:hint="eastAsia" w:ascii="宋体" w:hAnsi="宋体" w:eastAsia="宋体" w:cs="宋体"/>
                <w:color w:val="000000"/>
                <w:kern w:val="0"/>
                <w:sz w:val="24"/>
                <w:szCs w:val="24"/>
                <w:highlight w:val="none"/>
                <w:lang w:val="en-US" w:eastAsia="zh-CN"/>
              </w:rPr>
              <w:br w:type="textWrapping"/>
            </w:r>
            <w:r>
              <w:rPr>
                <w:rFonts w:hint="eastAsia" w:ascii="宋体" w:hAnsi="宋体" w:eastAsia="宋体" w:cs="宋体"/>
                <w:color w:val="000000"/>
                <w:kern w:val="0"/>
                <w:sz w:val="24"/>
                <w:szCs w:val="24"/>
                <w:highlight w:val="none"/>
                <w:lang w:val="en-US" w:eastAsia="zh-CN"/>
              </w:rPr>
              <w:t xml:space="preserve">3.具有防蓝光护眼功能。    </w:t>
            </w:r>
            <w:r>
              <w:rPr>
                <w:rFonts w:hint="eastAsia" w:ascii="宋体" w:hAnsi="宋体" w:eastAsia="宋体" w:cs="宋体"/>
                <w:color w:val="000000"/>
                <w:kern w:val="0"/>
                <w:sz w:val="24"/>
                <w:szCs w:val="24"/>
                <w:highlight w:val="none"/>
                <w:lang w:val="en-US" w:eastAsia="zh-CN"/>
              </w:rPr>
              <w:br w:type="textWrapping"/>
            </w:r>
            <w:r>
              <w:rPr>
                <w:rFonts w:hint="eastAsia" w:ascii="宋体" w:hAnsi="宋体" w:eastAsia="宋体" w:cs="宋体"/>
                <w:color w:val="000000"/>
                <w:kern w:val="0"/>
                <w:sz w:val="24"/>
                <w:szCs w:val="24"/>
                <w:highlight w:val="none"/>
                <w:lang w:val="en-US" w:eastAsia="zh-CN"/>
              </w:rPr>
              <w:t>4.整机内置双WiFi6无线网卡。</w:t>
            </w:r>
            <w:r>
              <w:rPr>
                <w:rFonts w:hint="eastAsia" w:ascii="宋体" w:hAnsi="宋体" w:eastAsia="宋体" w:cs="宋体"/>
                <w:color w:val="000000"/>
                <w:kern w:val="0"/>
                <w:sz w:val="24"/>
                <w:szCs w:val="24"/>
                <w:highlight w:val="none"/>
                <w:lang w:val="en-US" w:eastAsia="zh-CN"/>
              </w:rPr>
              <w:br w:type="textWrapping"/>
            </w:r>
            <w:r>
              <w:rPr>
                <w:rFonts w:hint="eastAsia"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lang w:val="en-US" w:eastAsia="zh-CN"/>
              </w:rPr>
              <w:t>5.内置AI书写美化功能，智能识别批注的书写轨迹；内置AR授课工具，支持对视频所采集的画面中叠加动态的3D 模型。（需提供相关证明材料）</w:t>
            </w:r>
          </w:p>
          <w:p w14:paraId="368A2605">
            <w:pPr>
              <w:widowControl/>
              <w:numPr>
                <w:ilvl w:val="0"/>
                <w:numId w:val="4"/>
              </w:numPr>
              <w:spacing w:line="360" w:lineRule="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6.内置智能语音转文字工具，可将内置麦克风拾取的语音进行文字转译，以悬浮字幕形式将转译文字显示在屏幕上。</w:t>
            </w:r>
            <w:r>
              <w:rPr>
                <w:rFonts w:hint="eastAsia" w:ascii="宋体" w:hAnsi="宋体" w:eastAsia="宋体" w:cs="宋体"/>
                <w:color w:val="000000"/>
                <w:kern w:val="0"/>
                <w:sz w:val="24"/>
                <w:szCs w:val="24"/>
                <w:highlight w:val="none"/>
                <w:lang w:val="en-US" w:eastAsia="zh-CN"/>
              </w:rPr>
              <w:br w:type="textWrapping"/>
            </w:r>
            <w:r>
              <w:rPr>
                <w:rFonts w:hint="eastAsia" w:ascii="宋体" w:hAnsi="宋体" w:eastAsia="宋体" w:cs="宋体"/>
                <w:color w:val="000000"/>
                <w:kern w:val="0"/>
                <w:sz w:val="24"/>
                <w:szCs w:val="24"/>
                <w:highlight w:val="none"/>
                <w:lang w:val="en-US" w:eastAsia="zh-CN"/>
              </w:rPr>
              <w:t>7.内置电脑模块，内存≥8GB，</w:t>
            </w:r>
            <w:r>
              <w:rPr>
                <w:rFonts w:hint="eastAsia" w:ascii="宋体" w:hAnsi="宋体" w:eastAsia="宋体" w:cs="宋体"/>
                <w:color w:val="000000"/>
                <w:kern w:val="0"/>
                <w:sz w:val="24"/>
                <w:szCs w:val="24"/>
                <w:highlight w:val="none"/>
              </w:rPr>
              <w:t>硬盘≥256GB，采用按压式卡扣，和整机的连接采用万兆级接口。</w:t>
            </w:r>
          </w:p>
        </w:tc>
        <w:tc>
          <w:tcPr>
            <w:tcW w:w="281" w:type="pct"/>
            <w:shd w:val="clear" w:color="auto" w:fill="auto"/>
            <w:vAlign w:val="center"/>
          </w:tcPr>
          <w:p w14:paraId="584439F4">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套</w:t>
            </w:r>
          </w:p>
        </w:tc>
        <w:tc>
          <w:tcPr>
            <w:tcW w:w="289" w:type="pct"/>
            <w:shd w:val="clear" w:color="auto" w:fill="auto"/>
            <w:vAlign w:val="center"/>
          </w:tcPr>
          <w:p w14:paraId="7D6F97A6">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4841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continue"/>
            <w:shd w:val="clear" w:color="auto" w:fill="auto"/>
            <w:vAlign w:val="center"/>
          </w:tcPr>
          <w:p w14:paraId="19FF7D98">
            <w:pPr>
              <w:widowControl/>
              <w:spacing w:line="360" w:lineRule="auto"/>
              <w:jc w:val="center"/>
              <w:rPr>
                <w:rFonts w:hint="eastAsia" w:ascii="宋体" w:hAnsi="宋体" w:eastAsia="宋体" w:cs="宋体"/>
                <w:color w:val="000000"/>
                <w:kern w:val="0"/>
                <w:sz w:val="24"/>
                <w:szCs w:val="24"/>
              </w:rPr>
            </w:pPr>
          </w:p>
        </w:tc>
        <w:tc>
          <w:tcPr>
            <w:tcW w:w="425" w:type="pct"/>
            <w:vMerge w:val="continue"/>
            <w:shd w:val="clear" w:color="auto" w:fill="auto"/>
            <w:vAlign w:val="center"/>
          </w:tcPr>
          <w:p w14:paraId="35D36D45">
            <w:pPr>
              <w:widowControl/>
              <w:spacing w:line="360" w:lineRule="auto"/>
              <w:jc w:val="center"/>
              <w:rPr>
                <w:rFonts w:hint="eastAsia" w:ascii="宋体" w:hAnsi="宋体" w:eastAsia="宋体" w:cs="宋体"/>
                <w:color w:val="000000"/>
                <w:kern w:val="0"/>
                <w:sz w:val="24"/>
                <w:szCs w:val="24"/>
                <w:lang w:val="en-US" w:eastAsia="zh-CN"/>
              </w:rPr>
            </w:pPr>
          </w:p>
        </w:tc>
        <w:tc>
          <w:tcPr>
            <w:tcW w:w="505" w:type="pct"/>
            <w:shd w:val="clear" w:color="auto" w:fill="auto"/>
            <w:vAlign w:val="center"/>
          </w:tcPr>
          <w:p w14:paraId="491D36C5">
            <w:pPr>
              <w:widowControl/>
              <w:spacing w:line="360" w:lineRule="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语言实训板书无尘机</w:t>
            </w:r>
          </w:p>
        </w:tc>
        <w:tc>
          <w:tcPr>
            <w:tcW w:w="3208" w:type="pct"/>
            <w:shd w:val="clear" w:color="auto" w:fill="auto"/>
            <w:vAlign w:val="center"/>
          </w:tcPr>
          <w:p w14:paraId="5BAFAA56">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rPr>
              <w:t>.结构：≥2个板擦清洗盒，≥5寸电容式触摸屏，一套水循环过滤系统，对污水进行过滤可循环使用。</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.系统调节：触摸屏界面可调节水量大小；进入到设置界面，可进行水量调节，挤压次数调节，冲洗次数的调节，可根据学校情况进行调节。</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.智能检测：一键开启后进行检测清洗；当水量不足时，通过液位检测检测，显示屏上设有提示。</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.使用完板擦后，将板擦放止清洗盒内，通过远距离红外检测，板擦盒进行90度旋转，并开启整个清洗工作，显示屏上设有提示；清洗完成后，黑板擦自动归位，打开门便可使用。</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.过滤系统：采用反循环水处理系统，≥2次污水过滤，水可多次循环使用。</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.智能板擦规格采用高密度乳胶海绵，挤压后湿度适中，即擦即写。</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7</w:t>
            </w:r>
            <w:r>
              <w:rPr>
                <w:rFonts w:hint="eastAsia" w:ascii="宋体" w:hAnsi="宋体" w:eastAsia="宋体" w:cs="宋体"/>
                <w:color w:val="000000"/>
                <w:kern w:val="0"/>
                <w:sz w:val="24"/>
                <w:szCs w:val="24"/>
              </w:rPr>
              <w:t>.设备内部结构采用水电隔离，水路和电路形成单独模块空间；具有过载保护以及短路保护。</w:t>
            </w:r>
          </w:p>
        </w:tc>
        <w:tc>
          <w:tcPr>
            <w:tcW w:w="281" w:type="pct"/>
            <w:shd w:val="clear" w:color="auto" w:fill="auto"/>
            <w:vAlign w:val="center"/>
          </w:tcPr>
          <w:p w14:paraId="34049699">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套</w:t>
            </w:r>
          </w:p>
        </w:tc>
        <w:tc>
          <w:tcPr>
            <w:tcW w:w="289" w:type="pct"/>
            <w:shd w:val="clear" w:color="auto" w:fill="auto"/>
            <w:vAlign w:val="center"/>
          </w:tcPr>
          <w:p w14:paraId="2497CEAC">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286E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continue"/>
            <w:shd w:val="clear" w:color="auto" w:fill="auto"/>
            <w:vAlign w:val="center"/>
          </w:tcPr>
          <w:p w14:paraId="5F51D39A">
            <w:pPr>
              <w:widowControl/>
              <w:spacing w:line="360" w:lineRule="auto"/>
              <w:jc w:val="center"/>
              <w:rPr>
                <w:rFonts w:hint="eastAsia" w:ascii="宋体" w:hAnsi="宋体" w:eastAsia="宋体" w:cs="宋体"/>
                <w:color w:val="000000"/>
                <w:kern w:val="0"/>
                <w:sz w:val="24"/>
                <w:szCs w:val="24"/>
              </w:rPr>
            </w:pPr>
          </w:p>
        </w:tc>
        <w:tc>
          <w:tcPr>
            <w:tcW w:w="425" w:type="pct"/>
            <w:vMerge w:val="continue"/>
            <w:shd w:val="clear" w:color="auto" w:fill="auto"/>
            <w:vAlign w:val="center"/>
          </w:tcPr>
          <w:p w14:paraId="5E5DEE60">
            <w:pPr>
              <w:widowControl/>
              <w:spacing w:line="360" w:lineRule="auto"/>
              <w:jc w:val="center"/>
              <w:rPr>
                <w:rFonts w:hint="eastAsia" w:ascii="宋体" w:hAnsi="宋体" w:eastAsia="宋体" w:cs="宋体"/>
                <w:color w:val="000000"/>
                <w:kern w:val="0"/>
                <w:sz w:val="24"/>
                <w:szCs w:val="24"/>
                <w:lang w:val="en-US" w:eastAsia="zh-CN"/>
              </w:rPr>
            </w:pPr>
          </w:p>
        </w:tc>
        <w:tc>
          <w:tcPr>
            <w:tcW w:w="505" w:type="pct"/>
            <w:shd w:val="clear" w:color="auto" w:fill="auto"/>
            <w:vAlign w:val="center"/>
          </w:tcPr>
          <w:p w14:paraId="59F099BF">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智慧讲台</w:t>
            </w:r>
          </w:p>
        </w:tc>
        <w:tc>
          <w:tcPr>
            <w:tcW w:w="3208" w:type="pct"/>
            <w:shd w:val="clear" w:color="auto" w:fill="auto"/>
            <w:vAlign w:val="center"/>
          </w:tcPr>
          <w:p w14:paraId="039F2690">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1.参考尺寸（长宽高）：1630x800x825mm（公差±10mm）（闭合尺寸）。</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2.讲桌采用套层的升降设计。</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3.讲桌升降立柱双电机两节升降装置，升降行程≥480mm。抗下滑设计，电动升降器升降速度: ≥35mm/s，升降噪音≤48db，桌面负载: ≥120KG；具有遇阻回退安全保护；升降器具备陀螺仪保护模块，防倾侧保护。</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4.桌面围边采用木质弯曲工艺，桌面主材采用厚度≥25mm的高密度中纤板，侧边采用圆弧工艺处理，表面采用三聚氰胺和侧面采用PVC封边，无毒无味，防潮防水，防腐蚀。</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.讲桌下层具有≥12U落地的独立标准机架式机柜，具有落地的电脑主机箱位，机箱前门带锁，上部留有机箱的光驱门</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.配备≥23吋显示器，显示器下方采用高精度阻尼转轴的角度调节机构，调节范围0~35°，任意角度可实现稳固锁定。显示器底座具有一个键盘放置区域，可以用来放置鼠标和键盘。</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7</w:t>
            </w:r>
            <w:r>
              <w:rPr>
                <w:rFonts w:hint="eastAsia" w:ascii="宋体" w:hAnsi="宋体" w:eastAsia="宋体" w:cs="宋体"/>
                <w:color w:val="000000"/>
                <w:kern w:val="0"/>
                <w:sz w:val="24"/>
                <w:szCs w:val="24"/>
              </w:rPr>
              <w:t>.升降电机采用手控器控制，手控器集成LED可显示桌面高度，≥3种高度预设模式，可一键恢复到预设高度</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.桌面上具备模块接口，其中包括≥1个国标220V电插座、≥2个的 USB接入口，≥1路标准HDMI 输入接口。</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9</w:t>
            </w:r>
            <w:r>
              <w:rPr>
                <w:rFonts w:hint="eastAsia" w:ascii="宋体" w:hAnsi="宋体" w:eastAsia="宋体" w:cs="宋体"/>
                <w:color w:val="000000"/>
                <w:kern w:val="0"/>
                <w:sz w:val="24"/>
                <w:szCs w:val="24"/>
              </w:rPr>
              <w:t>.讲桌配有ABS材料的水杯架，可旋转角度≥90度，实现隐藏式安装。</w:t>
            </w:r>
          </w:p>
        </w:tc>
        <w:tc>
          <w:tcPr>
            <w:tcW w:w="281" w:type="pct"/>
            <w:shd w:val="clear" w:color="auto" w:fill="auto"/>
            <w:vAlign w:val="center"/>
          </w:tcPr>
          <w:p w14:paraId="18DD495D">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套</w:t>
            </w:r>
          </w:p>
        </w:tc>
        <w:tc>
          <w:tcPr>
            <w:tcW w:w="289" w:type="pct"/>
            <w:shd w:val="clear" w:color="auto" w:fill="auto"/>
            <w:vAlign w:val="center"/>
          </w:tcPr>
          <w:p w14:paraId="10E2A2F3">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67B7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continue"/>
            <w:shd w:val="clear" w:color="auto" w:fill="auto"/>
            <w:vAlign w:val="center"/>
          </w:tcPr>
          <w:p w14:paraId="17A69031">
            <w:pPr>
              <w:widowControl/>
              <w:spacing w:line="360" w:lineRule="auto"/>
              <w:jc w:val="center"/>
              <w:rPr>
                <w:rFonts w:hint="eastAsia" w:ascii="宋体" w:hAnsi="宋体" w:eastAsia="宋体" w:cs="宋体"/>
                <w:color w:val="000000"/>
                <w:kern w:val="0"/>
                <w:sz w:val="24"/>
                <w:szCs w:val="24"/>
              </w:rPr>
            </w:pPr>
          </w:p>
        </w:tc>
        <w:tc>
          <w:tcPr>
            <w:tcW w:w="425" w:type="pct"/>
            <w:vMerge w:val="continue"/>
            <w:shd w:val="clear" w:color="auto" w:fill="auto"/>
            <w:vAlign w:val="center"/>
          </w:tcPr>
          <w:p w14:paraId="6FDCFC1B">
            <w:pPr>
              <w:widowControl/>
              <w:spacing w:line="360" w:lineRule="auto"/>
              <w:jc w:val="center"/>
              <w:rPr>
                <w:rFonts w:hint="eastAsia" w:ascii="宋体" w:hAnsi="宋体" w:eastAsia="宋体" w:cs="宋体"/>
                <w:color w:val="000000"/>
                <w:kern w:val="0"/>
                <w:sz w:val="24"/>
                <w:szCs w:val="24"/>
                <w:lang w:val="en-US" w:eastAsia="zh-CN"/>
              </w:rPr>
            </w:pPr>
          </w:p>
        </w:tc>
        <w:tc>
          <w:tcPr>
            <w:tcW w:w="505" w:type="pct"/>
            <w:shd w:val="clear" w:color="auto" w:fill="auto"/>
            <w:vAlign w:val="center"/>
          </w:tcPr>
          <w:p w14:paraId="193CFA6E">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学生实训支撑设备</w:t>
            </w:r>
          </w:p>
        </w:tc>
        <w:tc>
          <w:tcPr>
            <w:tcW w:w="3208" w:type="pct"/>
            <w:shd w:val="clear" w:color="auto" w:fill="auto"/>
            <w:vAlign w:val="center"/>
          </w:tcPr>
          <w:p w14:paraId="2892B779">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单人位</w:t>
            </w:r>
            <w:r>
              <w:rPr>
                <w:rFonts w:hint="eastAsia" w:ascii="宋体" w:hAnsi="宋体" w:eastAsia="宋体" w:cs="宋体"/>
                <w:color w:val="000000"/>
                <w:kern w:val="0"/>
                <w:sz w:val="24"/>
                <w:szCs w:val="24"/>
              </w:rPr>
              <w:t>参考尺寸</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mm</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：约</w:t>
            </w:r>
            <w:r>
              <w:rPr>
                <w:rFonts w:hint="eastAsia" w:ascii="宋体" w:hAnsi="宋体" w:eastAsia="宋体" w:cs="宋体"/>
                <w:color w:val="000000"/>
                <w:kern w:val="0"/>
                <w:sz w:val="24"/>
                <w:szCs w:val="24"/>
                <w:lang w:val="en-US" w:eastAsia="zh-CN"/>
              </w:rPr>
              <w:t>75</w:t>
            </w:r>
            <w:r>
              <w:rPr>
                <w:rFonts w:hint="eastAsia" w:ascii="宋体" w:hAnsi="宋体" w:eastAsia="宋体" w:cs="宋体"/>
                <w:color w:val="000000"/>
                <w:kern w:val="0"/>
                <w:sz w:val="24"/>
                <w:szCs w:val="24"/>
              </w:rPr>
              <w:t>0</w:t>
            </w:r>
            <w:r>
              <w:rPr>
                <w:rFonts w:hint="eastAsia" w:ascii="宋体" w:hAnsi="宋体" w:eastAsia="宋体" w:cs="宋体"/>
                <w:color w:val="000000"/>
                <w:kern w:val="0"/>
                <w:sz w:val="24"/>
                <w:szCs w:val="24"/>
                <w:lang w:val="en-US" w:eastAsia="zh-CN"/>
              </w:rPr>
              <w:t>mm</w:t>
            </w:r>
            <w:r>
              <w:rPr>
                <w:rFonts w:hint="eastAsia" w:ascii="宋体" w:hAnsi="宋体" w:eastAsia="宋体" w:cs="宋体"/>
                <w:color w:val="000000"/>
                <w:kern w:val="0"/>
                <w:sz w:val="24"/>
                <w:szCs w:val="24"/>
              </w:rPr>
              <w:t>*500</w:t>
            </w:r>
            <w:r>
              <w:rPr>
                <w:rFonts w:hint="eastAsia" w:ascii="宋体" w:hAnsi="宋体" w:eastAsia="宋体" w:cs="宋体"/>
                <w:color w:val="000000"/>
                <w:kern w:val="0"/>
                <w:sz w:val="24"/>
                <w:szCs w:val="24"/>
                <w:lang w:val="en-US" w:eastAsia="zh-CN"/>
              </w:rPr>
              <w:t>mm</w:t>
            </w:r>
            <w:r>
              <w:rPr>
                <w:rFonts w:hint="eastAsia" w:ascii="宋体" w:hAnsi="宋体" w:eastAsia="宋体" w:cs="宋体"/>
                <w:color w:val="000000"/>
                <w:kern w:val="0"/>
                <w:sz w:val="24"/>
                <w:szCs w:val="24"/>
              </w:rPr>
              <w:t>*750mm，可根据实际情况调整</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2.搭配升降器，采用铝合金材质，齿轮齿条升降，具有防水、防静电等功能，可单机使用或集合控制，可以任意分组，任意组合升降，控制方式多样化。</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3.上升过程中装饰面板自动打开，液晶屏直立伸出桌面并自动接通电源；上升后，显示器自动摆角0～30°，下降时液晶屏自动调整 为直立状态，自断电源；液晶屏电源自动切断并开始下降，液晶屏完全下降装饰板自动合起。</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4.采用钢木结合设计，面板采用≥25mm E1级防火板，支撑骨架采用≥50*15mm钢管，边角圆弧。</w:t>
            </w:r>
          </w:p>
        </w:tc>
        <w:tc>
          <w:tcPr>
            <w:tcW w:w="281" w:type="pct"/>
            <w:shd w:val="clear" w:color="auto" w:fill="auto"/>
            <w:vAlign w:val="center"/>
          </w:tcPr>
          <w:p w14:paraId="03C26465">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位</w:t>
            </w:r>
          </w:p>
        </w:tc>
        <w:tc>
          <w:tcPr>
            <w:tcW w:w="289" w:type="pct"/>
            <w:shd w:val="clear" w:color="auto" w:fill="auto"/>
            <w:vAlign w:val="center"/>
          </w:tcPr>
          <w:p w14:paraId="35C42D0C">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44</w:t>
            </w:r>
          </w:p>
        </w:tc>
      </w:tr>
      <w:tr w14:paraId="3EED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continue"/>
            <w:shd w:val="clear" w:color="auto" w:fill="auto"/>
            <w:vAlign w:val="center"/>
          </w:tcPr>
          <w:p w14:paraId="4D2BDFF2">
            <w:pPr>
              <w:widowControl/>
              <w:spacing w:line="360" w:lineRule="auto"/>
              <w:jc w:val="center"/>
              <w:rPr>
                <w:rFonts w:hint="eastAsia" w:ascii="宋体" w:hAnsi="宋体" w:eastAsia="宋体" w:cs="宋体"/>
                <w:color w:val="000000"/>
                <w:kern w:val="0"/>
                <w:sz w:val="24"/>
                <w:szCs w:val="24"/>
              </w:rPr>
            </w:pPr>
          </w:p>
        </w:tc>
        <w:tc>
          <w:tcPr>
            <w:tcW w:w="425" w:type="pct"/>
            <w:vMerge w:val="continue"/>
            <w:shd w:val="clear" w:color="auto" w:fill="auto"/>
            <w:vAlign w:val="center"/>
          </w:tcPr>
          <w:p w14:paraId="32A84B11">
            <w:pPr>
              <w:widowControl/>
              <w:spacing w:line="360" w:lineRule="auto"/>
              <w:jc w:val="center"/>
              <w:rPr>
                <w:rFonts w:hint="eastAsia" w:ascii="宋体" w:hAnsi="宋体" w:eastAsia="宋体" w:cs="宋体"/>
                <w:color w:val="000000"/>
                <w:kern w:val="0"/>
                <w:sz w:val="24"/>
                <w:szCs w:val="24"/>
              </w:rPr>
            </w:pPr>
          </w:p>
        </w:tc>
        <w:tc>
          <w:tcPr>
            <w:tcW w:w="505" w:type="pct"/>
            <w:shd w:val="clear" w:color="auto" w:fill="auto"/>
            <w:vAlign w:val="center"/>
          </w:tcPr>
          <w:p w14:paraId="32839960">
            <w:pPr>
              <w:widowControl/>
              <w:spacing w:line="360" w:lineRule="auto"/>
              <w:jc w:val="both"/>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课堂质量</w:t>
            </w:r>
            <w:r>
              <w:rPr>
                <w:rFonts w:hint="eastAsia" w:ascii="宋体" w:hAnsi="宋体" w:eastAsia="宋体" w:cs="宋体"/>
                <w:color w:val="000000"/>
                <w:kern w:val="0"/>
                <w:sz w:val="24"/>
                <w:szCs w:val="24"/>
              </w:rPr>
              <w:t>AI智能分析</w:t>
            </w:r>
            <w:r>
              <w:rPr>
                <w:rFonts w:hint="eastAsia" w:ascii="宋体" w:hAnsi="宋体" w:eastAsia="宋体" w:cs="宋体"/>
                <w:color w:val="000000"/>
                <w:kern w:val="0"/>
                <w:sz w:val="24"/>
                <w:szCs w:val="24"/>
                <w:lang w:val="en-US" w:eastAsia="zh-CN"/>
              </w:rPr>
              <w:t>系统</w:t>
            </w:r>
          </w:p>
        </w:tc>
        <w:tc>
          <w:tcPr>
            <w:tcW w:w="3208" w:type="pct"/>
            <w:shd w:val="clear" w:color="auto" w:fill="auto"/>
            <w:vAlign w:val="center"/>
          </w:tcPr>
          <w:p w14:paraId="622CA11B">
            <w:pPr>
              <w:widowControl/>
              <w:spacing w:line="360" w:lineRule="auto"/>
              <w:jc w:val="left"/>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一</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AI智能分析终端≥1台</w:t>
            </w:r>
          </w:p>
          <w:p w14:paraId="500C63FD">
            <w:pPr>
              <w:widowControl/>
              <w:spacing w:line="360" w:lineRule="auto"/>
              <w:jc w:val="left"/>
              <w:rPr>
                <w:rFonts w:hint="eastAsia" w:ascii="宋体" w:hAnsi="宋体" w:eastAsia="宋体" w:cs="宋体"/>
                <w:color w:val="0F1115"/>
                <w:kern w:val="2"/>
                <w:sz w:val="24"/>
                <w:szCs w:val="24"/>
                <w:shd w:val="clear" w:color="auto" w:fill="FFFFFF"/>
              </w:rPr>
            </w:pPr>
            <w:r>
              <w:rPr>
                <w:rFonts w:hint="eastAsia" w:ascii="宋体" w:hAnsi="宋体" w:eastAsia="宋体" w:cs="宋体"/>
                <w:color w:val="000000"/>
                <w:kern w:val="0"/>
                <w:sz w:val="24"/>
                <w:szCs w:val="24"/>
              </w:rPr>
              <w:t>1.主机采用集成化设计，能够独立完成视频采集、音频采集、音频编码、视频编码、音频处理、视频处理、直播、录制、互动、远程运维参数设置功能；且无需借助算力服务器，可实现动作和行为识别，开启AI分析功能，在平台生成课堂分析评价报告。</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2.包括但不限于以下接口：≥2个HDMI高清采集接口，≥5个RJ45接口，≥4个USB类型接口；≥4路可同一时间输出不同视频源的高清视频输出；≥2个线线性立体声输入，</w:t>
            </w:r>
            <w:r>
              <w:rPr>
                <w:rFonts w:hint="eastAsia" w:ascii="宋体" w:hAnsi="宋体" w:eastAsia="宋体" w:cs="宋体"/>
                <w:color w:val="000000"/>
                <w:kern w:val="0"/>
                <w:sz w:val="24"/>
                <w:szCs w:val="24"/>
                <w:lang w:val="en-US" w:eastAsia="zh-CN"/>
              </w:rPr>
              <w:t>支</w:t>
            </w:r>
            <w:r>
              <w:rPr>
                <w:rFonts w:hint="eastAsia" w:ascii="宋体" w:hAnsi="宋体" w:eastAsia="宋体" w:cs="宋体"/>
                <w:color w:val="000000"/>
                <w:kern w:val="0"/>
                <w:sz w:val="24"/>
                <w:szCs w:val="24"/>
              </w:rPr>
              <w:t>持≥2个线性立体声音频输出；提供≥3个USB接口以及≥1个Type-C接口，</w:t>
            </w:r>
            <w:r>
              <w:rPr>
                <w:rFonts w:hint="eastAsia" w:ascii="宋体" w:hAnsi="宋体" w:eastAsia="宋体" w:cs="宋体"/>
                <w:color w:val="0F1115"/>
                <w:sz w:val="24"/>
                <w:szCs w:val="24"/>
                <w:shd w:val="clear" w:color="auto" w:fill="FFFFFF"/>
              </w:rPr>
              <w:t>支持USB UVC、UAC协议，实现单USB线缆同时传输视频与音频信号</w:t>
            </w:r>
          </w:p>
          <w:p w14:paraId="3F172DD7">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连接主流视频会议软件。</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4.设备网口可支持10/100/1000Mbps自适应，支持 IPV4，IPV6；支持串口通信，可通过中控协议实现中控控制，控制开关机、开始/暂停/停止录制。</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5.可支持在主机断电的情况下，实现≥2个音频输入断电扩声。</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.设备具备标准化数据接口，可将课堂数据自动汇聚至学校智慧教学管理平台</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在响应文件中</w:t>
            </w:r>
            <w:r>
              <w:rPr>
                <w:rFonts w:hint="eastAsia" w:ascii="宋体" w:hAnsi="宋体" w:eastAsia="宋体" w:cs="宋体"/>
                <w:color w:val="000000"/>
                <w:kern w:val="0"/>
                <w:sz w:val="24"/>
                <w:szCs w:val="24"/>
              </w:rPr>
              <w:t>提供对接方案。</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二）智能降噪麦克风≥1套：可通过网线实现麦克风供电、音频信号传输、参数调整；支持全频自适应AI降噪技术，麦克风支持≥2个音频接口，支持盲插；可通过AI降噪功能自动过滤掉教室内翻书声、敲黑板拍桌子声、拉动座椅板凳声、拍掌声等常见噪音。</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三）配备高清摄像机≥2个：摄像机采用全景特写双镜头，一体化集成设计，支持4K超高清，全景镜头水平视场角≥110°，图像传感器有效像素≥400万；特写镜头水平视场角≥40°，图像传感器有效像素≥800万；内置图像识别跟踪算法，实现跟踪定位控制功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（四）配备AI教评及课堂学情分析功能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1.支持设置AI量表，提供AI分析指标库，指标数量≥10。</w:t>
            </w:r>
          </w:p>
          <w:p w14:paraId="7A265021">
            <w:pPr>
              <w:widowControl/>
              <w:spacing w:line="360" w:lineRule="auto"/>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#2.支持用户自定义AI教评指标模版，可自定义填写维度名称、维度权重、选择维度下需AI观测指标、每项指标分数。</w:t>
            </w:r>
            <w:r>
              <w:rPr>
                <w:rFonts w:hint="eastAsia" w:ascii="宋体" w:hAnsi="宋体" w:eastAsia="宋体" w:cs="宋体"/>
                <w:color w:val="000000"/>
                <w:kern w:val="0"/>
                <w:sz w:val="24"/>
                <w:szCs w:val="24"/>
                <w:lang w:eastAsia="zh-CN"/>
              </w:rPr>
              <w:t>（提供现场演示）</w:t>
            </w:r>
          </w:p>
          <w:p w14:paraId="1AA6AC1A">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可支持统计课室人数，支持显示教室的学生出勤人数、出勤率数据；可支持统计前排区域的学生人数，统计前排学生的就坐率峰值数据；可支持通过分析课中学生抬头行为，统计课节时间内学生的平均抬头率数据。</w:t>
            </w:r>
          </w:p>
          <w:p w14:paraId="31237808">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4.支持根据课堂分析内容得出总分，并生成AI评语。</w:t>
            </w:r>
          </w:p>
          <w:p w14:paraId="497E24F5">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支持根据教师语音转写，总结教师本节课的教学目标内容及对应时间点；支持总结本节课程教师讲授的重难点知识，根据时间点展示重难点内容；支持总结本节课程教师设置的学科思维、学科历史、学科前沿、跨学科联系内容，分别展示知识重点及对应时间点。</w:t>
            </w:r>
          </w:p>
          <w:p w14:paraId="11E895E0">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支持展示教师出勤情况，通过时间轴标记计划上/下课时间点、教师到课时间点、教师离开时间点，并生成文字结论；可支持展示教师授课过程中出现敏感词数量及提及次数，并可展示对应时间点及语音转写的内容；可支持统计教师在课堂中对考勤的管理；可支持分析教师的着装仪态、规范程度。</w:t>
            </w:r>
          </w:p>
          <w:p w14:paraId="031DE881">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7.教学提问分析：</w:t>
            </w:r>
            <w:r>
              <w:rPr>
                <w:rFonts w:hint="eastAsia" w:ascii="宋体" w:hAnsi="宋体" w:eastAsia="宋体" w:cs="宋体"/>
                <w:color w:val="000000"/>
                <w:kern w:val="0"/>
                <w:sz w:val="24"/>
                <w:szCs w:val="24"/>
                <w:lang w:val="en-US" w:eastAsia="zh-CN"/>
              </w:rPr>
              <w:t>可</w:t>
            </w:r>
            <w:r>
              <w:rPr>
                <w:rFonts w:hint="eastAsia" w:ascii="宋体" w:hAnsi="宋体" w:eastAsia="宋体" w:cs="宋体"/>
                <w:color w:val="000000"/>
                <w:kern w:val="0"/>
                <w:sz w:val="24"/>
                <w:szCs w:val="24"/>
              </w:rPr>
              <w:t>分析教学过程中教师提问时序图。</w:t>
            </w:r>
          </w:p>
          <w:p w14:paraId="174CBCEE">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8.支持分析课堂音视频，总结判断课堂中教师是否引导学生课后进行深入思考。</w:t>
            </w:r>
          </w:p>
          <w:p w14:paraId="011FC3E3">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9</w:t>
            </w:r>
            <w:r>
              <w:rPr>
                <w:rFonts w:hint="eastAsia" w:ascii="宋体" w:hAnsi="宋体" w:eastAsia="宋体" w:cs="宋体"/>
                <w:color w:val="000000"/>
                <w:kern w:val="0"/>
                <w:sz w:val="24"/>
                <w:szCs w:val="24"/>
              </w:rPr>
              <w:t>.支持总结课堂中审辩思维、沟通能力、合作能力、课程思政的教学内容。</w:t>
            </w:r>
          </w:p>
          <w:p w14:paraId="20D0DBF3">
            <w:pPr>
              <w:widowControl/>
              <w:spacing w:line="360" w:lineRule="auto"/>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0</w:t>
            </w:r>
            <w:r>
              <w:rPr>
                <w:rFonts w:hint="eastAsia" w:ascii="宋体" w:hAnsi="宋体" w:eastAsia="宋体" w:cs="宋体"/>
                <w:color w:val="000000"/>
                <w:kern w:val="0"/>
                <w:sz w:val="24"/>
                <w:szCs w:val="24"/>
              </w:rPr>
              <w:t>.支持自定义编辑多维度数据看板，如基础数据、质量管理、资源建设、AI评价；可编辑的组件数量≥30个，每个组件都可编辑，并拖拽的方式插入看板；组件图表包括但不限于词云、柱状图、排行榜、曲线的图表样式，以便展示不同的数据指标。</w:t>
            </w:r>
            <w:r>
              <w:rPr>
                <w:rFonts w:hint="eastAsia" w:ascii="宋体" w:hAnsi="宋体" w:eastAsia="宋体" w:cs="宋体"/>
                <w:color w:val="000000"/>
                <w:kern w:val="0"/>
                <w:sz w:val="24"/>
                <w:szCs w:val="24"/>
                <w:lang w:eastAsia="zh-CN"/>
              </w:rPr>
              <w:t>（提供现场演示）</w:t>
            </w:r>
          </w:p>
          <w:p w14:paraId="2CAA011F">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rPr>
              <w:t>.可通过数据看板查看课程类型占比、AI教评概览、AI教评得分分布、教师出勤率、准时上课率、准时下课率、课堂管理覆盖率。</w:t>
            </w:r>
          </w:p>
          <w:p w14:paraId="60721A02">
            <w:pPr>
              <w:widowControl/>
              <w:spacing w:line="360" w:lineRule="auto"/>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五</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要求对现有房间进行环境提升，包括但不限于以下内容：≥64㎡吊顶造型，要求所提供主材及其配套辅材环保、无味，整体美观大方，符合国家环保要求</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≥64㎡防静电地板，全钢陶瓷防静电地板，参考规格600*600*40mm，铺装高度≤300mm</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≥90㎡墙面处理，采用吸音板+墙面粉刷相结合方式，颜色根据采购人要求定制，根据采购人要求对墙面进行文化设计</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根据现场实际情况进行灯光改造，包含但不限于灯线、软膜灯箱等</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最终环境提升方案，以采购人具体要求为准</w:t>
            </w:r>
            <w:r>
              <w:rPr>
                <w:rFonts w:hint="eastAsia" w:ascii="宋体" w:hAnsi="宋体" w:eastAsia="宋体" w:cs="宋体"/>
                <w:color w:val="000000"/>
                <w:kern w:val="0"/>
                <w:sz w:val="24"/>
                <w:szCs w:val="24"/>
                <w:lang w:eastAsia="zh-CN"/>
              </w:rPr>
              <w:t>。</w:t>
            </w:r>
          </w:p>
        </w:tc>
        <w:tc>
          <w:tcPr>
            <w:tcW w:w="281" w:type="pct"/>
            <w:shd w:val="clear" w:color="auto" w:fill="auto"/>
            <w:vAlign w:val="center"/>
          </w:tcPr>
          <w:p w14:paraId="30409C58">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套</w:t>
            </w:r>
          </w:p>
        </w:tc>
        <w:tc>
          <w:tcPr>
            <w:tcW w:w="289" w:type="pct"/>
            <w:shd w:val="clear" w:color="auto" w:fill="auto"/>
            <w:vAlign w:val="center"/>
          </w:tcPr>
          <w:p w14:paraId="20F5FCA4">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70F1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continue"/>
            <w:shd w:val="clear" w:color="auto" w:fill="auto"/>
            <w:vAlign w:val="center"/>
          </w:tcPr>
          <w:p w14:paraId="659A4578">
            <w:pPr>
              <w:widowControl/>
              <w:spacing w:line="360" w:lineRule="auto"/>
              <w:jc w:val="center"/>
              <w:rPr>
                <w:rFonts w:hint="eastAsia" w:ascii="宋体" w:hAnsi="宋体" w:eastAsia="宋体" w:cs="宋体"/>
                <w:color w:val="000000"/>
                <w:kern w:val="0"/>
                <w:sz w:val="24"/>
                <w:szCs w:val="24"/>
              </w:rPr>
            </w:pPr>
          </w:p>
        </w:tc>
        <w:tc>
          <w:tcPr>
            <w:tcW w:w="425" w:type="pct"/>
            <w:vMerge w:val="continue"/>
            <w:shd w:val="clear" w:color="auto" w:fill="auto"/>
            <w:vAlign w:val="center"/>
          </w:tcPr>
          <w:p w14:paraId="10D2BEE4">
            <w:pPr>
              <w:widowControl/>
              <w:spacing w:line="360" w:lineRule="auto"/>
              <w:jc w:val="center"/>
              <w:rPr>
                <w:rFonts w:hint="eastAsia" w:ascii="宋体" w:hAnsi="宋体" w:eastAsia="宋体" w:cs="宋体"/>
                <w:color w:val="000000"/>
                <w:kern w:val="0"/>
                <w:sz w:val="24"/>
                <w:szCs w:val="24"/>
              </w:rPr>
            </w:pPr>
          </w:p>
        </w:tc>
        <w:tc>
          <w:tcPr>
            <w:tcW w:w="505" w:type="pct"/>
            <w:shd w:val="clear" w:color="auto" w:fill="auto"/>
            <w:vAlign w:val="center"/>
          </w:tcPr>
          <w:p w14:paraId="6ED48586">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数字音频处理器</w:t>
            </w:r>
          </w:p>
        </w:tc>
        <w:tc>
          <w:tcPr>
            <w:tcW w:w="3208" w:type="pct"/>
            <w:shd w:val="clear" w:color="auto" w:fill="auto"/>
            <w:vAlign w:val="center"/>
          </w:tcPr>
          <w:p w14:paraId="273534BA">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1.标准机架式设备，高度≤1.5U，集成音频处理和功率放大器，采用DSP嵌入式音频处理算法，具有音量指示灯和≥3寸液晶显示屏。</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支持≥4路音频输入，其中至少2路采用3.5mm接口，支持≥4路凤凰端输出</w:t>
            </w:r>
            <w:r>
              <w:rPr>
                <w:rFonts w:hint="eastAsia" w:ascii="宋体" w:hAnsi="宋体" w:eastAsia="宋体" w:cs="宋体"/>
                <w:color w:val="000000"/>
                <w:kern w:val="0"/>
                <w:sz w:val="24"/>
                <w:szCs w:val="24"/>
                <w:lang w:val="en-US" w:eastAsia="zh-CN"/>
              </w:rPr>
              <w:t>;</w:t>
            </w:r>
            <w:r>
              <w:rPr>
                <w:rFonts w:hint="eastAsia" w:ascii="宋体" w:hAnsi="宋体" w:eastAsia="宋体" w:cs="宋体"/>
                <w:color w:val="000000"/>
                <w:kern w:val="0"/>
                <w:sz w:val="24"/>
                <w:szCs w:val="24"/>
              </w:rPr>
              <w:t>≥1路USB声卡可直接</w:t>
            </w:r>
            <w:r>
              <w:rPr>
                <w:rFonts w:hint="eastAsia" w:ascii="宋体" w:hAnsi="宋体" w:eastAsia="宋体" w:cs="宋体"/>
                <w:color w:val="000000"/>
                <w:kern w:val="0"/>
                <w:sz w:val="24"/>
                <w:szCs w:val="24"/>
                <w:lang w:val="en-US" w:eastAsia="zh-CN"/>
              </w:rPr>
              <w:t>应用于</w:t>
            </w:r>
            <w:r>
              <w:rPr>
                <w:rFonts w:hint="eastAsia" w:ascii="宋体" w:hAnsi="宋体" w:eastAsia="宋体" w:cs="宋体"/>
                <w:color w:val="000000"/>
                <w:kern w:val="0"/>
                <w:sz w:val="24"/>
                <w:szCs w:val="24"/>
              </w:rPr>
              <w:t>电脑</w:t>
            </w:r>
            <w:r>
              <w:rPr>
                <w:rFonts w:hint="eastAsia" w:ascii="宋体" w:hAnsi="宋体" w:eastAsia="宋体" w:cs="宋体"/>
                <w:color w:val="000000"/>
                <w:kern w:val="0"/>
                <w:sz w:val="24"/>
                <w:szCs w:val="24"/>
                <w:lang w:val="en-US" w:eastAsia="zh-CN"/>
              </w:rPr>
              <w:t>腾讯会议声卡选项</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需</w:t>
            </w:r>
            <w:r>
              <w:rPr>
                <w:rFonts w:hint="eastAsia" w:ascii="宋体" w:hAnsi="宋体" w:eastAsia="宋体" w:cs="宋体"/>
                <w:color w:val="000000"/>
                <w:kern w:val="0"/>
                <w:sz w:val="24"/>
                <w:szCs w:val="24"/>
              </w:rPr>
              <w:t>提供会议软件声卡选择功能截图；≥1路USB控制面板接口，可外接控制面板实现一键上下课、音量控制、麦克风静音等功能。</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.具有≥2路RS-232接口，具有≥1路RS-485串行接口，具有≥2路的弱电IO接口。</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rPr>
              <w:t>.采用数字功放，最大输出功率：≥2*150W。</w:t>
            </w:r>
          </w:p>
          <w:p w14:paraId="706560CD">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.内置自适应音频处理算法，在不同场地均能实现自动校准，技术指标要求：反馈抑制（AFC）：传声增益提升幅度：≥15dB；自动增益控制（AGC）：增益控制幅度：-12dB - +12dB。自适应背景降噪（ANS）：信噪比提升≥18dB ；回声消除（AEC）：回音消除尾音长度：≥512ms，回声消除幅度：≥ 60dB，收敛速度：≥ 60dB/S ；信噪比：≥95dB，信号处理延时≤8ms ；本地扩声声场不均匀度≤5dB；所有音频处理部分的频率响应： 20Hz-20kHz（±3dB）。</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.主机内置调试软件，支持4级抗混响功能，支持无线麦优先功能，支持麦克风信道调换；</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7</w:t>
            </w:r>
            <w:r>
              <w:rPr>
                <w:rFonts w:hint="eastAsia" w:ascii="宋体" w:hAnsi="宋体" w:eastAsia="宋体" w:cs="宋体"/>
                <w:color w:val="000000"/>
                <w:kern w:val="0"/>
                <w:sz w:val="24"/>
                <w:szCs w:val="24"/>
              </w:rPr>
              <w:t>.具有≥1路RJ45专用广播输入接口，能接收网络音频数据流，转成模拟信号到音箱播放。</w:t>
            </w:r>
          </w:p>
        </w:tc>
        <w:tc>
          <w:tcPr>
            <w:tcW w:w="281" w:type="pct"/>
            <w:shd w:val="clear" w:color="auto" w:fill="auto"/>
            <w:vAlign w:val="center"/>
          </w:tcPr>
          <w:p w14:paraId="25DFEC6F">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台</w:t>
            </w:r>
          </w:p>
        </w:tc>
        <w:tc>
          <w:tcPr>
            <w:tcW w:w="289" w:type="pct"/>
            <w:shd w:val="clear" w:color="auto" w:fill="auto"/>
            <w:vAlign w:val="center"/>
          </w:tcPr>
          <w:p w14:paraId="40D539DE">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3C25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continue"/>
            <w:shd w:val="clear" w:color="auto" w:fill="auto"/>
            <w:vAlign w:val="center"/>
          </w:tcPr>
          <w:p w14:paraId="05CA4B48">
            <w:pPr>
              <w:widowControl/>
              <w:spacing w:line="360" w:lineRule="auto"/>
              <w:jc w:val="center"/>
              <w:rPr>
                <w:rFonts w:hint="eastAsia" w:ascii="宋体" w:hAnsi="宋体" w:eastAsia="宋体" w:cs="宋体"/>
                <w:color w:val="000000"/>
                <w:kern w:val="0"/>
                <w:sz w:val="24"/>
                <w:szCs w:val="24"/>
              </w:rPr>
            </w:pPr>
          </w:p>
        </w:tc>
        <w:tc>
          <w:tcPr>
            <w:tcW w:w="425" w:type="pct"/>
            <w:vMerge w:val="continue"/>
            <w:shd w:val="clear" w:color="auto" w:fill="auto"/>
            <w:vAlign w:val="center"/>
          </w:tcPr>
          <w:p w14:paraId="10C86CD7">
            <w:pPr>
              <w:widowControl/>
              <w:spacing w:line="360" w:lineRule="auto"/>
              <w:jc w:val="center"/>
              <w:rPr>
                <w:rFonts w:hint="eastAsia" w:ascii="宋体" w:hAnsi="宋体" w:eastAsia="宋体" w:cs="宋体"/>
                <w:color w:val="000000"/>
                <w:kern w:val="0"/>
                <w:sz w:val="24"/>
                <w:szCs w:val="24"/>
              </w:rPr>
            </w:pPr>
          </w:p>
        </w:tc>
        <w:tc>
          <w:tcPr>
            <w:tcW w:w="505" w:type="pct"/>
            <w:shd w:val="clear" w:color="auto" w:fill="auto"/>
            <w:vAlign w:val="center"/>
          </w:tcPr>
          <w:p w14:paraId="67FD3429">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无线麦克</w:t>
            </w:r>
          </w:p>
        </w:tc>
        <w:tc>
          <w:tcPr>
            <w:tcW w:w="3208" w:type="pct"/>
            <w:shd w:val="clear" w:color="auto" w:fill="auto"/>
            <w:vAlign w:val="center"/>
          </w:tcPr>
          <w:p w14:paraId="02129A59">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1.采用UHF数字调制和无线抗干扰编码技术。</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2.接收机和充电底座采用一体化设计，话筒插入充电座即可自动完成配对，开机即用。</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3.充电底座集成鹅颈麦克风功能，鹅颈麦克风话筒杆长度可选。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4.无线话筒具有翻页笔和激光笔功能</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具有独立音量加减按键。</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.充电底座具有物理解锁按键</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可通过</w:t>
            </w:r>
            <w:r>
              <w:rPr>
                <w:rFonts w:hint="eastAsia" w:ascii="宋体" w:hAnsi="宋体" w:eastAsia="宋体" w:cs="宋体"/>
                <w:color w:val="000000"/>
                <w:kern w:val="0"/>
                <w:sz w:val="24"/>
                <w:szCs w:val="24"/>
              </w:rPr>
              <w:t>中控</w:t>
            </w:r>
            <w:r>
              <w:rPr>
                <w:rFonts w:hint="eastAsia" w:ascii="宋体" w:hAnsi="宋体" w:eastAsia="宋体" w:cs="宋体"/>
                <w:color w:val="000000"/>
                <w:kern w:val="0"/>
                <w:sz w:val="24"/>
                <w:szCs w:val="24"/>
                <w:lang w:val="en-US" w:eastAsia="zh-CN"/>
              </w:rPr>
              <w:t>实现</w:t>
            </w:r>
            <w:r>
              <w:rPr>
                <w:rFonts w:hint="eastAsia" w:ascii="宋体" w:hAnsi="宋体" w:eastAsia="宋体" w:cs="宋体"/>
                <w:color w:val="000000"/>
                <w:kern w:val="0"/>
                <w:sz w:val="24"/>
                <w:szCs w:val="24"/>
              </w:rPr>
              <w:t>上课</w:t>
            </w:r>
            <w:r>
              <w:rPr>
                <w:rFonts w:hint="eastAsia" w:ascii="宋体" w:hAnsi="宋体" w:eastAsia="宋体" w:cs="宋体"/>
                <w:color w:val="000000"/>
                <w:kern w:val="0"/>
                <w:sz w:val="24"/>
                <w:szCs w:val="24"/>
                <w:lang w:val="en-US" w:eastAsia="zh-CN"/>
              </w:rPr>
              <w:t>解</w:t>
            </w:r>
            <w:r>
              <w:rPr>
                <w:rFonts w:hint="eastAsia" w:ascii="宋体" w:hAnsi="宋体" w:eastAsia="宋体" w:cs="宋体"/>
                <w:color w:val="000000"/>
                <w:kern w:val="0"/>
                <w:sz w:val="24"/>
                <w:szCs w:val="24"/>
              </w:rPr>
              <w:t>锁，</w:t>
            </w:r>
            <w:r>
              <w:rPr>
                <w:rFonts w:hint="eastAsia" w:ascii="宋体" w:hAnsi="宋体" w:eastAsia="宋体" w:cs="宋体"/>
                <w:color w:val="000000"/>
                <w:kern w:val="0"/>
                <w:sz w:val="24"/>
                <w:szCs w:val="24"/>
                <w:lang w:val="en-US" w:eastAsia="zh-CN"/>
              </w:rPr>
              <w:t>下课后</w:t>
            </w:r>
            <w:r>
              <w:rPr>
                <w:rFonts w:hint="eastAsia" w:ascii="宋体" w:hAnsi="宋体" w:eastAsia="宋体" w:cs="宋体"/>
                <w:color w:val="000000"/>
                <w:kern w:val="0"/>
                <w:sz w:val="24"/>
                <w:szCs w:val="24"/>
              </w:rPr>
              <w:t>话筒插入底座自动锁死</w:t>
            </w:r>
          </w:p>
        </w:tc>
        <w:tc>
          <w:tcPr>
            <w:tcW w:w="281" w:type="pct"/>
            <w:shd w:val="clear" w:color="auto" w:fill="auto"/>
            <w:vAlign w:val="center"/>
          </w:tcPr>
          <w:p w14:paraId="5B55C9EF">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套</w:t>
            </w:r>
          </w:p>
        </w:tc>
        <w:tc>
          <w:tcPr>
            <w:tcW w:w="289" w:type="pct"/>
            <w:shd w:val="clear" w:color="auto" w:fill="auto"/>
            <w:vAlign w:val="center"/>
          </w:tcPr>
          <w:p w14:paraId="462EA5BB">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55EE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continue"/>
            <w:shd w:val="clear" w:color="auto" w:fill="auto"/>
            <w:vAlign w:val="center"/>
          </w:tcPr>
          <w:p w14:paraId="25D422D5">
            <w:pPr>
              <w:widowControl/>
              <w:spacing w:line="360" w:lineRule="auto"/>
              <w:jc w:val="center"/>
              <w:rPr>
                <w:rFonts w:hint="eastAsia" w:ascii="宋体" w:hAnsi="宋体" w:eastAsia="宋体" w:cs="宋体"/>
                <w:color w:val="000000"/>
                <w:kern w:val="0"/>
                <w:sz w:val="24"/>
                <w:szCs w:val="24"/>
              </w:rPr>
            </w:pPr>
          </w:p>
        </w:tc>
        <w:tc>
          <w:tcPr>
            <w:tcW w:w="425" w:type="pct"/>
            <w:vMerge w:val="continue"/>
            <w:shd w:val="clear" w:color="auto" w:fill="auto"/>
            <w:vAlign w:val="center"/>
          </w:tcPr>
          <w:p w14:paraId="5EB9A985">
            <w:pPr>
              <w:widowControl/>
              <w:spacing w:line="360" w:lineRule="auto"/>
              <w:jc w:val="center"/>
              <w:rPr>
                <w:rFonts w:hint="eastAsia" w:ascii="宋体" w:hAnsi="宋体" w:eastAsia="宋体" w:cs="宋体"/>
                <w:color w:val="000000"/>
                <w:kern w:val="0"/>
                <w:sz w:val="24"/>
                <w:szCs w:val="24"/>
              </w:rPr>
            </w:pPr>
          </w:p>
        </w:tc>
        <w:tc>
          <w:tcPr>
            <w:tcW w:w="505" w:type="pct"/>
            <w:shd w:val="clear" w:color="auto" w:fill="auto"/>
            <w:vAlign w:val="center"/>
          </w:tcPr>
          <w:p w14:paraId="497B62BC">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扩声音箱</w:t>
            </w:r>
          </w:p>
        </w:tc>
        <w:tc>
          <w:tcPr>
            <w:tcW w:w="3208" w:type="pct"/>
            <w:shd w:val="clear" w:color="auto" w:fill="auto"/>
            <w:vAlign w:val="center"/>
          </w:tcPr>
          <w:p w14:paraId="7B09E88E">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1.频率响应：80Hz-18KHz（±3dB）。</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2.额定阻抗：8Ω。</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3.灵敏度：85-90dB。</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4.匹配功率：30W-80W。</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5.高音单元：≥1×1吋“丝膜高音”,低频单元：≥1×4.5吋。</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6.接线端子：单线分音。</w:t>
            </w:r>
          </w:p>
        </w:tc>
        <w:tc>
          <w:tcPr>
            <w:tcW w:w="281" w:type="pct"/>
            <w:shd w:val="clear" w:color="auto" w:fill="auto"/>
            <w:vAlign w:val="center"/>
          </w:tcPr>
          <w:p w14:paraId="2A483069">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对</w:t>
            </w:r>
          </w:p>
        </w:tc>
        <w:tc>
          <w:tcPr>
            <w:tcW w:w="289" w:type="pct"/>
            <w:shd w:val="clear" w:color="auto" w:fill="auto"/>
            <w:vAlign w:val="center"/>
          </w:tcPr>
          <w:p w14:paraId="26B5A0C1">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r>
      <w:tr w14:paraId="595B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 w:type="pct"/>
            <w:vMerge w:val="continue"/>
            <w:shd w:val="clear" w:color="auto" w:fill="auto"/>
            <w:vAlign w:val="center"/>
          </w:tcPr>
          <w:p w14:paraId="462862BA">
            <w:pPr>
              <w:widowControl/>
              <w:spacing w:line="360" w:lineRule="auto"/>
              <w:jc w:val="center"/>
              <w:rPr>
                <w:rFonts w:hint="eastAsia" w:ascii="宋体" w:hAnsi="宋体" w:eastAsia="宋体" w:cs="宋体"/>
                <w:color w:val="000000"/>
                <w:kern w:val="0"/>
                <w:sz w:val="24"/>
                <w:szCs w:val="24"/>
              </w:rPr>
            </w:pPr>
          </w:p>
        </w:tc>
        <w:tc>
          <w:tcPr>
            <w:tcW w:w="425" w:type="pct"/>
            <w:vMerge w:val="continue"/>
            <w:shd w:val="clear" w:color="auto" w:fill="auto"/>
            <w:vAlign w:val="center"/>
          </w:tcPr>
          <w:p w14:paraId="13230881">
            <w:pPr>
              <w:widowControl/>
              <w:spacing w:line="360" w:lineRule="auto"/>
              <w:jc w:val="center"/>
              <w:rPr>
                <w:rFonts w:hint="eastAsia" w:ascii="宋体" w:hAnsi="宋体" w:eastAsia="宋体" w:cs="宋体"/>
                <w:color w:val="000000"/>
                <w:kern w:val="0"/>
                <w:sz w:val="24"/>
                <w:szCs w:val="24"/>
                <w:lang w:val="en-US" w:eastAsia="zh-CN"/>
              </w:rPr>
            </w:pPr>
          </w:p>
        </w:tc>
        <w:tc>
          <w:tcPr>
            <w:tcW w:w="505" w:type="pct"/>
            <w:shd w:val="clear" w:color="auto" w:fill="auto"/>
            <w:vAlign w:val="center"/>
          </w:tcPr>
          <w:p w14:paraId="745FC1E0">
            <w:pPr>
              <w:widowControl/>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语言实训网络传输设备</w:t>
            </w:r>
          </w:p>
        </w:tc>
        <w:tc>
          <w:tcPr>
            <w:tcW w:w="3208" w:type="pct"/>
            <w:shd w:val="clear" w:color="auto" w:fill="auto"/>
            <w:vAlign w:val="center"/>
          </w:tcPr>
          <w:p w14:paraId="01BDCB2B">
            <w:pPr>
              <w:widowControl/>
              <w:spacing w:line="360" w:lineRule="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1.固化10/100/1000M以太网端口≥24个，固化1G SFP光接口≥4个，最大可用端口数≥28个。</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2.交换容量≥360Gbps，包转发率≥120Mpps。</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3.所投交换机IK防护测试级别至少达到IK05。</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4.支持CPU保护策略，对发往CPU的数据流，进行流区分和优先级队列分级处理，并根据需要实施带宽限速。</w:t>
            </w:r>
          </w:p>
        </w:tc>
        <w:tc>
          <w:tcPr>
            <w:tcW w:w="281" w:type="pct"/>
            <w:shd w:val="clear" w:color="auto" w:fill="auto"/>
            <w:vAlign w:val="center"/>
          </w:tcPr>
          <w:p w14:paraId="2EC6A8F8">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c>
          <w:tcPr>
            <w:tcW w:w="289" w:type="pct"/>
            <w:shd w:val="clear" w:color="auto" w:fill="auto"/>
            <w:vAlign w:val="center"/>
          </w:tcPr>
          <w:p w14:paraId="37EBC93A">
            <w:pPr>
              <w:widowControl/>
              <w:spacing w:line="360"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台</w:t>
            </w:r>
          </w:p>
        </w:tc>
      </w:tr>
    </w:tbl>
    <w:p w14:paraId="30C4E3CE">
      <w:pPr>
        <w:widowControl/>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备注：</w:t>
      </w:r>
    </w:p>
    <w:p w14:paraId="7924EF3E">
      <w:pPr>
        <w:widowControl/>
        <w:numPr>
          <w:ilvl w:val="0"/>
          <w:numId w:val="5"/>
        </w:num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本项目为</w:t>
      </w:r>
      <w:r>
        <w:rPr>
          <w:rFonts w:hint="eastAsia" w:ascii="宋体" w:hAnsi="宋体" w:eastAsia="宋体" w:cs="宋体"/>
          <w:color w:val="000000"/>
          <w:kern w:val="0"/>
          <w:sz w:val="24"/>
          <w:szCs w:val="24"/>
        </w:rPr>
        <w:t>交钥匙项目，</w:t>
      </w:r>
      <w:r>
        <w:rPr>
          <w:rFonts w:hint="eastAsia" w:ascii="宋体" w:hAnsi="宋体" w:eastAsia="宋体" w:cs="宋体"/>
          <w:color w:val="000000"/>
          <w:kern w:val="0"/>
          <w:sz w:val="24"/>
          <w:szCs w:val="24"/>
          <w:lang w:val="en-US" w:eastAsia="zh-CN"/>
        </w:rPr>
        <w:t>供应商</w:t>
      </w:r>
      <w:r>
        <w:rPr>
          <w:rFonts w:hint="eastAsia" w:ascii="宋体" w:hAnsi="宋体" w:eastAsia="宋体" w:cs="宋体"/>
          <w:color w:val="000000"/>
          <w:kern w:val="0"/>
          <w:sz w:val="24"/>
          <w:szCs w:val="24"/>
        </w:rPr>
        <w:t>根据采购</w:t>
      </w:r>
      <w:r>
        <w:rPr>
          <w:rFonts w:hint="eastAsia" w:ascii="宋体" w:hAnsi="宋体" w:eastAsia="宋体" w:cs="宋体"/>
          <w:color w:val="000000"/>
          <w:kern w:val="0"/>
          <w:sz w:val="24"/>
          <w:szCs w:val="24"/>
          <w:lang w:val="en-US" w:eastAsia="zh-CN"/>
        </w:rPr>
        <w:t>人</w:t>
      </w:r>
      <w:r>
        <w:rPr>
          <w:rFonts w:hint="eastAsia" w:ascii="宋体" w:hAnsi="宋体" w:eastAsia="宋体" w:cs="宋体"/>
          <w:color w:val="000000"/>
          <w:kern w:val="0"/>
          <w:sz w:val="24"/>
          <w:szCs w:val="24"/>
        </w:rPr>
        <w:t>要求，完成本项目所涉及所有软硬件设备安装调试工作</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提供本项目设备安装所需配套辅材，对项目所涉及辅材要求如下：要求网线采用六类非屏蔽网线，要求其他电源线、HDMI高清线、音频线等辅材均符合国标。</w:t>
      </w:r>
    </w:p>
    <w:p w14:paraId="0E8D73FE">
      <w:pPr>
        <w:widowControl/>
        <w:numPr>
          <w:ilvl w:val="0"/>
          <w:numId w:val="5"/>
        </w:numPr>
        <w:rPr>
          <w:rFonts w:ascii="宋体" w:hAnsi="宋体" w:cs="宋体"/>
          <w:b/>
          <w:bCs/>
          <w:color w:val="000000"/>
          <w:kern w:val="0"/>
          <w:szCs w:val="21"/>
        </w:rPr>
      </w:pPr>
      <w:r>
        <w:rPr>
          <w:rFonts w:hint="eastAsia" w:ascii="宋体" w:hAnsi="宋体" w:eastAsia="宋体" w:cs="宋体"/>
          <w:color w:val="000000"/>
          <w:kern w:val="0"/>
          <w:sz w:val="24"/>
          <w:szCs w:val="24"/>
        </w:rPr>
        <w:t>技术参数</w:t>
      </w:r>
      <w:r>
        <w:rPr>
          <w:rFonts w:hint="eastAsia" w:ascii="宋体" w:hAnsi="宋体" w:eastAsia="宋体" w:cs="宋体"/>
          <w:color w:val="000000"/>
          <w:kern w:val="0"/>
          <w:sz w:val="24"/>
          <w:szCs w:val="24"/>
          <w:lang w:val="en-US" w:eastAsia="zh-CN"/>
        </w:rPr>
        <w:t>中标注“</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”为重要技术参数，标注“</w:t>
      </w:r>
      <w:r>
        <w:rPr>
          <w:rFonts w:hint="eastAsia" w:ascii="宋体" w:hAnsi="宋体" w:eastAsia="宋体" w:cs="宋体"/>
          <w:sz w:val="24"/>
          <w:szCs w:val="24"/>
          <w:lang w:val="en-US" w:eastAsia="zh-CN"/>
        </w:rPr>
        <w:t>#</w:t>
      </w:r>
      <w:r>
        <w:rPr>
          <w:rFonts w:hint="eastAsia" w:ascii="宋体" w:hAnsi="宋体" w:eastAsia="宋体" w:cs="宋体"/>
          <w:color w:val="000000"/>
          <w:kern w:val="0"/>
          <w:sz w:val="24"/>
          <w:szCs w:val="24"/>
          <w:lang w:val="en-US" w:eastAsia="zh-CN"/>
        </w:rPr>
        <w:t>”为需要现场演示内容。</w:t>
      </w:r>
    </w:p>
    <w:p w14:paraId="7FFE3F15">
      <w:pPr>
        <w:spacing w:line="360" w:lineRule="auto"/>
        <w:rPr>
          <w:rFonts w:hint="eastAsia"/>
          <w:color w:val="auto"/>
          <w:highlight w:val="none"/>
          <w:lang w:val="en-US" w:eastAsia="zh-CN"/>
        </w:rPr>
      </w:pPr>
    </w:p>
    <w:sectPr>
      <w:headerReference r:id="rId3" w:type="default"/>
      <w:footerReference r:id="rId4" w:type="default"/>
      <w:footerReference r:id="rId5" w:type="even"/>
      <w:pgSz w:w="16838" w:h="11906" w:orient="landscape"/>
      <w:pgMar w:top="1389" w:right="1701" w:bottom="1361" w:left="1701"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DB4D5">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95CF6">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3E95CF6">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CA602">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78CAE">
                          <w:pPr>
                            <w:pStyle w:val="5"/>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D78CAE">
                    <w:pPr>
                      <w:pStyle w:val="5"/>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633B1">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955373"/>
    <w:multiLevelType w:val="singleLevel"/>
    <w:tmpl w:val="A0955373"/>
    <w:lvl w:ilvl="0" w:tentative="0">
      <w:start w:val="1"/>
      <w:numFmt w:val="decimal"/>
      <w:lvlText w:val="%1."/>
      <w:lvlJc w:val="left"/>
      <w:pPr>
        <w:tabs>
          <w:tab w:val="left" w:pos="312"/>
        </w:tabs>
      </w:pPr>
    </w:lvl>
  </w:abstractNum>
  <w:abstractNum w:abstractNumId="1">
    <w:nsid w:val="F4E33F1E"/>
    <w:multiLevelType w:val="singleLevel"/>
    <w:tmpl w:val="F4E33F1E"/>
    <w:lvl w:ilvl="0" w:tentative="0">
      <w:start w:val="1"/>
      <w:numFmt w:val="decimal"/>
      <w:suff w:val="nothing"/>
      <w:lvlText w:val="%1、"/>
      <w:lvlJc w:val="left"/>
    </w:lvl>
  </w:abstractNum>
  <w:abstractNum w:abstractNumId="2">
    <w:nsid w:val="35A58CDE"/>
    <w:multiLevelType w:val="singleLevel"/>
    <w:tmpl w:val="35A58CDE"/>
    <w:lvl w:ilvl="0" w:tentative="0">
      <w:start w:val="1"/>
      <w:numFmt w:val="decimal"/>
      <w:suff w:val="nothing"/>
      <w:lvlText w:val="（%1）"/>
      <w:lvlJc w:val="left"/>
    </w:lvl>
  </w:abstractNum>
  <w:abstractNum w:abstractNumId="3">
    <w:nsid w:val="489F266D"/>
    <w:multiLevelType w:val="singleLevel"/>
    <w:tmpl w:val="489F266D"/>
    <w:lvl w:ilvl="0" w:tentative="0">
      <w:start w:val="1"/>
      <w:numFmt w:val="decimal"/>
      <w:lvlText w:val="%1."/>
      <w:lvlJc w:val="left"/>
      <w:pPr>
        <w:tabs>
          <w:tab w:val="left" w:pos="312"/>
        </w:tabs>
      </w:pPr>
    </w:lvl>
  </w:abstractNum>
  <w:abstractNum w:abstractNumId="4">
    <w:nsid w:val="54515382"/>
    <w:multiLevelType w:val="singleLevel"/>
    <w:tmpl w:val="54515382"/>
    <w:lvl w:ilvl="0" w:tentative="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evenAndOddHeaders w:val="1"/>
  <w:drawingGridHorizontalSpacing w:val="1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xODRkZTkzMzcxYzlkZTlhODQ0YTE1M2I5NzViNTYifQ=="/>
  </w:docVars>
  <w:rsids>
    <w:rsidRoot w:val="0030106B"/>
    <w:rsid w:val="00000698"/>
    <w:rsid w:val="000011A5"/>
    <w:rsid w:val="00010BF1"/>
    <w:rsid w:val="00023BDD"/>
    <w:rsid w:val="00024D0A"/>
    <w:rsid w:val="00030CB2"/>
    <w:rsid w:val="0004030A"/>
    <w:rsid w:val="00041346"/>
    <w:rsid w:val="00053AFD"/>
    <w:rsid w:val="00057C84"/>
    <w:rsid w:val="00074B50"/>
    <w:rsid w:val="00082A58"/>
    <w:rsid w:val="00091335"/>
    <w:rsid w:val="000B39FD"/>
    <w:rsid w:val="000B42FA"/>
    <w:rsid w:val="000B5AE0"/>
    <w:rsid w:val="000B6345"/>
    <w:rsid w:val="000B63B4"/>
    <w:rsid w:val="000B7901"/>
    <w:rsid w:val="000C000F"/>
    <w:rsid w:val="000C39BB"/>
    <w:rsid w:val="000D0EB2"/>
    <w:rsid w:val="000D4ADE"/>
    <w:rsid w:val="000E5582"/>
    <w:rsid w:val="0010654E"/>
    <w:rsid w:val="001139C2"/>
    <w:rsid w:val="00115C13"/>
    <w:rsid w:val="0012051F"/>
    <w:rsid w:val="00121ED2"/>
    <w:rsid w:val="001327F4"/>
    <w:rsid w:val="00137A95"/>
    <w:rsid w:val="001431C5"/>
    <w:rsid w:val="001558BB"/>
    <w:rsid w:val="00161377"/>
    <w:rsid w:val="001640FF"/>
    <w:rsid w:val="0018274C"/>
    <w:rsid w:val="00185DB9"/>
    <w:rsid w:val="001A356B"/>
    <w:rsid w:val="001A75DA"/>
    <w:rsid w:val="001B3C20"/>
    <w:rsid w:val="001B446C"/>
    <w:rsid w:val="001B75A4"/>
    <w:rsid w:val="001C6A57"/>
    <w:rsid w:val="001D4B6A"/>
    <w:rsid w:val="001D7AA6"/>
    <w:rsid w:val="001F28D0"/>
    <w:rsid w:val="00204073"/>
    <w:rsid w:val="0020584D"/>
    <w:rsid w:val="00206E9A"/>
    <w:rsid w:val="002171BF"/>
    <w:rsid w:val="00227709"/>
    <w:rsid w:val="0023368B"/>
    <w:rsid w:val="00234448"/>
    <w:rsid w:val="00245D1C"/>
    <w:rsid w:val="002474B6"/>
    <w:rsid w:val="00256960"/>
    <w:rsid w:val="00280711"/>
    <w:rsid w:val="00281884"/>
    <w:rsid w:val="00294097"/>
    <w:rsid w:val="0029418C"/>
    <w:rsid w:val="002943CB"/>
    <w:rsid w:val="00295ECF"/>
    <w:rsid w:val="002A0169"/>
    <w:rsid w:val="002A0F48"/>
    <w:rsid w:val="002A2CD7"/>
    <w:rsid w:val="002A51E4"/>
    <w:rsid w:val="002A5A75"/>
    <w:rsid w:val="002A5DBC"/>
    <w:rsid w:val="002A65D9"/>
    <w:rsid w:val="002B2AAE"/>
    <w:rsid w:val="002C1253"/>
    <w:rsid w:val="002D08D1"/>
    <w:rsid w:val="002D15BB"/>
    <w:rsid w:val="002E1703"/>
    <w:rsid w:val="0030106B"/>
    <w:rsid w:val="00303D8C"/>
    <w:rsid w:val="0030567C"/>
    <w:rsid w:val="00311A58"/>
    <w:rsid w:val="00313BCD"/>
    <w:rsid w:val="00321509"/>
    <w:rsid w:val="003233D3"/>
    <w:rsid w:val="00332B69"/>
    <w:rsid w:val="003336D7"/>
    <w:rsid w:val="0033419E"/>
    <w:rsid w:val="00341B76"/>
    <w:rsid w:val="00341D2E"/>
    <w:rsid w:val="00346900"/>
    <w:rsid w:val="00363E08"/>
    <w:rsid w:val="0036611E"/>
    <w:rsid w:val="00373383"/>
    <w:rsid w:val="0037562E"/>
    <w:rsid w:val="00385BF9"/>
    <w:rsid w:val="00395696"/>
    <w:rsid w:val="00397CCF"/>
    <w:rsid w:val="003A0AAC"/>
    <w:rsid w:val="003A37D8"/>
    <w:rsid w:val="003A5CDE"/>
    <w:rsid w:val="003A6D15"/>
    <w:rsid w:val="003A708B"/>
    <w:rsid w:val="003B067A"/>
    <w:rsid w:val="003B4425"/>
    <w:rsid w:val="003E2DEF"/>
    <w:rsid w:val="00406DEA"/>
    <w:rsid w:val="00426BA3"/>
    <w:rsid w:val="00432A36"/>
    <w:rsid w:val="004357E2"/>
    <w:rsid w:val="00440ACF"/>
    <w:rsid w:val="00477CE5"/>
    <w:rsid w:val="004804E6"/>
    <w:rsid w:val="00480711"/>
    <w:rsid w:val="00486DEB"/>
    <w:rsid w:val="00491A3E"/>
    <w:rsid w:val="00495E6D"/>
    <w:rsid w:val="004A01C4"/>
    <w:rsid w:val="004A4505"/>
    <w:rsid w:val="004A7884"/>
    <w:rsid w:val="004B090D"/>
    <w:rsid w:val="004B4F03"/>
    <w:rsid w:val="004C2305"/>
    <w:rsid w:val="004D5768"/>
    <w:rsid w:val="004E5D20"/>
    <w:rsid w:val="004E6E86"/>
    <w:rsid w:val="004E7557"/>
    <w:rsid w:val="004F1926"/>
    <w:rsid w:val="004F7B84"/>
    <w:rsid w:val="005050A2"/>
    <w:rsid w:val="005258EA"/>
    <w:rsid w:val="00525A72"/>
    <w:rsid w:val="0052734A"/>
    <w:rsid w:val="0052744F"/>
    <w:rsid w:val="00530B6C"/>
    <w:rsid w:val="00532E4E"/>
    <w:rsid w:val="0054053F"/>
    <w:rsid w:val="00545EA5"/>
    <w:rsid w:val="00550D46"/>
    <w:rsid w:val="00557005"/>
    <w:rsid w:val="00560C0C"/>
    <w:rsid w:val="0056787B"/>
    <w:rsid w:val="00572C05"/>
    <w:rsid w:val="00582A71"/>
    <w:rsid w:val="00596DC2"/>
    <w:rsid w:val="005A2704"/>
    <w:rsid w:val="005C22DF"/>
    <w:rsid w:val="005D17E8"/>
    <w:rsid w:val="005D2281"/>
    <w:rsid w:val="005E2322"/>
    <w:rsid w:val="005E3BEE"/>
    <w:rsid w:val="00601332"/>
    <w:rsid w:val="00603667"/>
    <w:rsid w:val="00620304"/>
    <w:rsid w:val="00627B0B"/>
    <w:rsid w:val="006426FD"/>
    <w:rsid w:val="00647C24"/>
    <w:rsid w:val="00650317"/>
    <w:rsid w:val="00652295"/>
    <w:rsid w:val="006654F4"/>
    <w:rsid w:val="00670318"/>
    <w:rsid w:val="0068173B"/>
    <w:rsid w:val="00682C78"/>
    <w:rsid w:val="006834D4"/>
    <w:rsid w:val="006838BA"/>
    <w:rsid w:val="00685EE4"/>
    <w:rsid w:val="006864EA"/>
    <w:rsid w:val="006940F8"/>
    <w:rsid w:val="006A6358"/>
    <w:rsid w:val="006B68D2"/>
    <w:rsid w:val="006C1D30"/>
    <w:rsid w:val="006C3692"/>
    <w:rsid w:val="006C6460"/>
    <w:rsid w:val="006D0C46"/>
    <w:rsid w:val="006D24E1"/>
    <w:rsid w:val="006E69AD"/>
    <w:rsid w:val="006F59CE"/>
    <w:rsid w:val="006F7788"/>
    <w:rsid w:val="0070377B"/>
    <w:rsid w:val="00704BDA"/>
    <w:rsid w:val="00713A03"/>
    <w:rsid w:val="00716F55"/>
    <w:rsid w:val="00721EC4"/>
    <w:rsid w:val="0072358F"/>
    <w:rsid w:val="00724798"/>
    <w:rsid w:val="00732866"/>
    <w:rsid w:val="0073541C"/>
    <w:rsid w:val="00742B06"/>
    <w:rsid w:val="00744850"/>
    <w:rsid w:val="00745D19"/>
    <w:rsid w:val="0074770C"/>
    <w:rsid w:val="00747780"/>
    <w:rsid w:val="00754EFB"/>
    <w:rsid w:val="00757933"/>
    <w:rsid w:val="0076516B"/>
    <w:rsid w:val="00775034"/>
    <w:rsid w:val="00775D4A"/>
    <w:rsid w:val="00776C9F"/>
    <w:rsid w:val="0078259D"/>
    <w:rsid w:val="00792D2E"/>
    <w:rsid w:val="00793EC7"/>
    <w:rsid w:val="0079517B"/>
    <w:rsid w:val="007A3274"/>
    <w:rsid w:val="007A3969"/>
    <w:rsid w:val="007B02AC"/>
    <w:rsid w:val="007B39EC"/>
    <w:rsid w:val="007B538D"/>
    <w:rsid w:val="007B6CD5"/>
    <w:rsid w:val="007C1D74"/>
    <w:rsid w:val="007C3FE7"/>
    <w:rsid w:val="007D5A2D"/>
    <w:rsid w:val="007D6D43"/>
    <w:rsid w:val="007D7B4C"/>
    <w:rsid w:val="007E251F"/>
    <w:rsid w:val="007F5B17"/>
    <w:rsid w:val="00806C4C"/>
    <w:rsid w:val="00806ED7"/>
    <w:rsid w:val="00816668"/>
    <w:rsid w:val="0082494B"/>
    <w:rsid w:val="00827280"/>
    <w:rsid w:val="00832BE9"/>
    <w:rsid w:val="0085115F"/>
    <w:rsid w:val="00851568"/>
    <w:rsid w:val="008557C6"/>
    <w:rsid w:val="00863B7A"/>
    <w:rsid w:val="00865B33"/>
    <w:rsid w:val="008773EE"/>
    <w:rsid w:val="00885A35"/>
    <w:rsid w:val="008943C8"/>
    <w:rsid w:val="008B2331"/>
    <w:rsid w:val="008C1369"/>
    <w:rsid w:val="008D0665"/>
    <w:rsid w:val="008D429B"/>
    <w:rsid w:val="008E3E61"/>
    <w:rsid w:val="008E6363"/>
    <w:rsid w:val="008E6A71"/>
    <w:rsid w:val="008E7A37"/>
    <w:rsid w:val="008F234F"/>
    <w:rsid w:val="009174BB"/>
    <w:rsid w:val="0092478F"/>
    <w:rsid w:val="00925FC9"/>
    <w:rsid w:val="009331FD"/>
    <w:rsid w:val="009333AA"/>
    <w:rsid w:val="00934E05"/>
    <w:rsid w:val="00935891"/>
    <w:rsid w:val="00940044"/>
    <w:rsid w:val="0094249D"/>
    <w:rsid w:val="00945FB0"/>
    <w:rsid w:val="00950CDE"/>
    <w:rsid w:val="00960496"/>
    <w:rsid w:val="009613A2"/>
    <w:rsid w:val="00961EA2"/>
    <w:rsid w:val="00971000"/>
    <w:rsid w:val="0097497E"/>
    <w:rsid w:val="00975C5B"/>
    <w:rsid w:val="00976677"/>
    <w:rsid w:val="009818A0"/>
    <w:rsid w:val="009954C9"/>
    <w:rsid w:val="009A2231"/>
    <w:rsid w:val="009A31DA"/>
    <w:rsid w:val="009A74AD"/>
    <w:rsid w:val="009B74D4"/>
    <w:rsid w:val="009C5CD8"/>
    <w:rsid w:val="009D120F"/>
    <w:rsid w:val="009D7338"/>
    <w:rsid w:val="009E042D"/>
    <w:rsid w:val="009E0DFB"/>
    <w:rsid w:val="009F09A1"/>
    <w:rsid w:val="009F0AD2"/>
    <w:rsid w:val="009F62E4"/>
    <w:rsid w:val="00A02722"/>
    <w:rsid w:val="00A27C51"/>
    <w:rsid w:val="00A33158"/>
    <w:rsid w:val="00A3727E"/>
    <w:rsid w:val="00A51941"/>
    <w:rsid w:val="00A618DD"/>
    <w:rsid w:val="00A914B8"/>
    <w:rsid w:val="00AA02A0"/>
    <w:rsid w:val="00AA039E"/>
    <w:rsid w:val="00AA0D27"/>
    <w:rsid w:val="00AA5010"/>
    <w:rsid w:val="00AA66E2"/>
    <w:rsid w:val="00AB69C2"/>
    <w:rsid w:val="00AC64BC"/>
    <w:rsid w:val="00AD23B5"/>
    <w:rsid w:val="00AF462B"/>
    <w:rsid w:val="00AF7C1B"/>
    <w:rsid w:val="00B0192D"/>
    <w:rsid w:val="00B0594F"/>
    <w:rsid w:val="00B17AA9"/>
    <w:rsid w:val="00B26D30"/>
    <w:rsid w:val="00B27A3A"/>
    <w:rsid w:val="00B3348B"/>
    <w:rsid w:val="00B36F31"/>
    <w:rsid w:val="00B3721E"/>
    <w:rsid w:val="00B429F9"/>
    <w:rsid w:val="00B44D3C"/>
    <w:rsid w:val="00B540E1"/>
    <w:rsid w:val="00B615BD"/>
    <w:rsid w:val="00B6319E"/>
    <w:rsid w:val="00B95657"/>
    <w:rsid w:val="00BA39F3"/>
    <w:rsid w:val="00BA5EA9"/>
    <w:rsid w:val="00BB2B98"/>
    <w:rsid w:val="00BC3F97"/>
    <w:rsid w:val="00BD3C3A"/>
    <w:rsid w:val="00BD4CB1"/>
    <w:rsid w:val="00BE1DD2"/>
    <w:rsid w:val="00BE2640"/>
    <w:rsid w:val="00BF0B6A"/>
    <w:rsid w:val="00BF44E3"/>
    <w:rsid w:val="00BF4CE2"/>
    <w:rsid w:val="00BF650C"/>
    <w:rsid w:val="00C071E5"/>
    <w:rsid w:val="00C268F5"/>
    <w:rsid w:val="00C26C4C"/>
    <w:rsid w:val="00C359CA"/>
    <w:rsid w:val="00C552F0"/>
    <w:rsid w:val="00C61367"/>
    <w:rsid w:val="00C61F89"/>
    <w:rsid w:val="00C66936"/>
    <w:rsid w:val="00C82A0C"/>
    <w:rsid w:val="00C847C1"/>
    <w:rsid w:val="00CA61CA"/>
    <w:rsid w:val="00CA6C28"/>
    <w:rsid w:val="00CB65A6"/>
    <w:rsid w:val="00CB78AC"/>
    <w:rsid w:val="00CC1069"/>
    <w:rsid w:val="00CC773F"/>
    <w:rsid w:val="00CD14BA"/>
    <w:rsid w:val="00CE6BB8"/>
    <w:rsid w:val="00CF1935"/>
    <w:rsid w:val="00CF4152"/>
    <w:rsid w:val="00D00608"/>
    <w:rsid w:val="00D074CA"/>
    <w:rsid w:val="00D16306"/>
    <w:rsid w:val="00D40704"/>
    <w:rsid w:val="00D67C46"/>
    <w:rsid w:val="00D80FFC"/>
    <w:rsid w:val="00D85451"/>
    <w:rsid w:val="00D87325"/>
    <w:rsid w:val="00DA7B71"/>
    <w:rsid w:val="00DB0852"/>
    <w:rsid w:val="00DB1DFA"/>
    <w:rsid w:val="00DB3DAB"/>
    <w:rsid w:val="00DC18FC"/>
    <w:rsid w:val="00DD5595"/>
    <w:rsid w:val="00DE3F34"/>
    <w:rsid w:val="00E05C4C"/>
    <w:rsid w:val="00E065DD"/>
    <w:rsid w:val="00E06926"/>
    <w:rsid w:val="00E076D8"/>
    <w:rsid w:val="00E15248"/>
    <w:rsid w:val="00E153F9"/>
    <w:rsid w:val="00E156A1"/>
    <w:rsid w:val="00E1779E"/>
    <w:rsid w:val="00E3729F"/>
    <w:rsid w:val="00E439CC"/>
    <w:rsid w:val="00E45A91"/>
    <w:rsid w:val="00E510C7"/>
    <w:rsid w:val="00E6365E"/>
    <w:rsid w:val="00E664A1"/>
    <w:rsid w:val="00E7103A"/>
    <w:rsid w:val="00E73768"/>
    <w:rsid w:val="00E918BF"/>
    <w:rsid w:val="00EB0721"/>
    <w:rsid w:val="00EB255F"/>
    <w:rsid w:val="00EB58B9"/>
    <w:rsid w:val="00EB5ACD"/>
    <w:rsid w:val="00EB7248"/>
    <w:rsid w:val="00ED2D29"/>
    <w:rsid w:val="00ED30F2"/>
    <w:rsid w:val="00ED65CD"/>
    <w:rsid w:val="00ED7165"/>
    <w:rsid w:val="00F0101A"/>
    <w:rsid w:val="00F04198"/>
    <w:rsid w:val="00F066DB"/>
    <w:rsid w:val="00F06D4D"/>
    <w:rsid w:val="00F216D6"/>
    <w:rsid w:val="00F2235A"/>
    <w:rsid w:val="00F36B28"/>
    <w:rsid w:val="00F54108"/>
    <w:rsid w:val="00F67A51"/>
    <w:rsid w:val="00F70B6F"/>
    <w:rsid w:val="00F80F36"/>
    <w:rsid w:val="00F81E7C"/>
    <w:rsid w:val="00FA7BC0"/>
    <w:rsid w:val="00FB5D64"/>
    <w:rsid w:val="00FB6BEB"/>
    <w:rsid w:val="00FC3B73"/>
    <w:rsid w:val="00FD2F45"/>
    <w:rsid w:val="00FE199A"/>
    <w:rsid w:val="00FE269F"/>
    <w:rsid w:val="00FE2F98"/>
    <w:rsid w:val="00FE6C01"/>
    <w:rsid w:val="012F2443"/>
    <w:rsid w:val="01825488"/>
    <w:rsid w:val="018C0E03"/>
    <w:rsid w:val="01BA61B0"/>
    <w:rsid w:val="01BB516D"/>
    <w:rsid w:val="027C0D50"/>
    <w:rsid w:val="028279E3"/>
    <w:rsid w:val="02BA0F2C"/>
    <w:rsid w:val="037979A5"/>
    <w:rsid w:val="03CB3F9B"/>
    <w:rsid w:val="03D42F29"/>
    <w:rsid w:val="03E47515"/>
    <w:rsid w:val="040A4AA1"/>
    <w:rsid w:val="045521C0"/>
    <w:rsid w:val="049814E0"/>
    <w:rsid w:val="053B0618"/>
    <w:rsid w:val="05672E13"/>
    <w:rsid w:val="05DB7E97"/>
    <w:rsid w:val="06836769"/>
    <w:rsid w:val="06EA0626"/>
    <w:rsid w:val="08564759"/>
    <w:rsid w:val="088A7F5F"/>
    <w:rsid w:val="089A4646"/>
    <w:rsid w:val="08A95854"/>
    <w:rsid w:val="08BD7FAD"/>
    <w:rsid w:val="08CF6958"/>
    <w:rsid w:val="090827CD"/>
    <w:rsid w:val="09D81E8C"/>
    <w:rsid w:val="0A0F696E"/>
    <w:rsid w:val="0A1102E2"/>
    <w:rsid w:val="0A480B9C"/>
    <w:rsid w:val="0B4524FB"/>
    <w:rsid w:val="0BE5112D"/>
    <w:rsid w:val="0BF57DE5"/>
    <w:rsid w:val="0C470F50"/>
    <w:rsid w:val="0C5E57C4"/>
    <w:rsid w:val="0C676F35"/>
    <w:rsid w:val="0CC954FA"/>
    <w:rsid w:val="0D354400"/>
    <w:rsid w:val="0D742563"/>
    <w:rsid w:val="0D7D0092"/>
    <w:rsid w:val="0DB22432"/>
    <w:rsid w:val="0DDE4FD5"/>
    <w:rsid w:val="0E3A4297"/>
    <w:rsid w:val="0E527771"/>
    <w:rsid w:val="0E963B01"/>
    <w:rsid w:val="0EA855E3"/>
    <w:rsid w:val="0EB06D04"/>
    <w:rsid w:val="0EE77A81"/>
    <w:rsid w:val="0F220B1B"/>
    <w:rsid w:val="0F2664F6"/>
    <w:rsid w:val="0F277E39"/>
    <w:rsid w:val="0FE268D2"/>
    <w:rsid w:val="10256733"/>
    <w:rsid w:val="103510F8"/>
    <w:rsid w:val="107365F0"/>
    <w:rsid w:val="107B2A34"/>
    <w:rsid w:val="1109680C"/>
    <w:rsid w:val="11296A34"/>
    <w:rsid w:val="117774DD"/>
    <w:rsid w:val="12151156"/>
    <w:rsid w:val="12371157"/>
    <w:rsid w:val="128F4AEF"/>
    <w:rsid w:val="1293615E"/>
    <w:rsid w:val="12B5207C"/>
    <w:rsid w:val="12EC1DC3"/>
    <w:rsid w:val="135E2714"/>
    <w:rsid w:val="137D5290"/>
    <w:rsid w:val="13983E78"/>
    <w:rsid w:val="143815AA"/>
    <w:rsid w:val="14401B9A"/>
    <w:rsid w:val="14E13BB0"/>
    <w:rsid w:val="14E45A3A"/>
    <w:rsid w:val="14E86739"/>
    <w:rsid w:val="14F00C9E"/>
    <w:rsid w:val="151A4A2D"/>
    <w:rsid w:val="159B7C4F"/>
    <w:rsid w:val="15BD5E17"/>
    <w:rsid w:val="160C46A9"/>
    <w:rsid w:val="165A3666"/>
    <w:rsid w:val="16E90C11"/>
    <w:rsid w:val="174707F2"/>
    <w:rsid w:val="1773377D"/>
    <w:rsid w:val="18DE360D"/>
    <w:rsid w:val="19807C1E"/>
    <w:rsid w:val="19AF1F1B"/>
    <w:rsid w:val="1A676352"/>
    <w:rsid w:val="1B1B78AF"/>
    <w:rsid w:val="1B776A68"/>
    <w:rsid w:val="1BCB46BE"/>
    <w:rsid w:val="1C0C42AF"/>
    <w:rsid w:val="1C2370E7"/>
    <w:rsid w:val="1C9D605B"/>
    <w:rsid w:val="1D4110DC"/>
    <w:rsid w:val="1DD27F86"/>
    <w:rsid w:val="1F2B35EE"/>
    <w:rsid w:val="20250841"/>
    <w:rsid w:val="212E7BC9"/>
    <w:rsid w:val="21FA7AAB"/>
    <w:rsid w:val="22566075"/>
    <w:rsid w:val="2291000C"/>
    <w:rsid w:val="22E63BAE"/>
    <w:rsid w:val="23626302"/>
    <w:rsid w:val="23737B15"/>
    <w:rsid w:val="23A12410"/>
    <w:rsid w:val="242332EA"/>
    <w:rsid w:val="25140F7F"/>
    <w:rsid w:val="25893620"/>
    <w:rsid w:val="276460F3"/>
    <w:rsid w:val="27BB03A7"/>
    <w:rsid w:val="28EF7C3E"/>
    <w:rsid w:val="29114058"/>
    <w:rsid w:val="29224275"/>
    <w:rsid w:val="29657F00"/>
    <w:rsid w:val="296A1CA7"/>
    <w:rsid w:val="29D4444C"/>
    <w:rsid w:val="29D924F1"/>
    <w:rsid w:val="2A1536D4"/>
    <w:rsid w:val="2AAB228B"/>
    <w:rsid w:val="2B3B53BD"/>
    <w:rsid w:val="2BB60EE7"/>
    <w:rsid w:val="2BE32FF5"/>
    <w:rsid w:val="2BEC6A86"/>
    <w:rsid w:val="2C932FD6"/>
    <w:rsid w:val="2D4542D1"/>
    <w:rsid w:val="2DE7410E"/>
    <w:rsid w:val="2DF857E7"/>
    <w:rsid w:val="2EBC4560"/>
    <w:rsid w:val="2F792957"/>
    <w:rsid w:val="2F9C6646"/>
    <w:rsid w:val="2FAF6379"/>
    <w:rsid w:val="30AB223A"/>
    <w:rsid w:val="30BA4FD6"/>
    <w:rsid w:val="31104BF6"/>
    <w:rsid w:val="31684A32"/>
    <w:rsid w:val="31DB583A"/>
    <w:rsid w:val="33370B5F"/>
    <w:rsid w:val="333C43C8"/>
    <w:rsid w:val="34140EA1"/>
    <w:rsid w:val="35154ED0"/>
    <w:rsid w:val="353A4937"/>
    <w:rsid w:val="3586192A"/>
    <w:rsid w:val="35D5640E"/>
    <w:rsid w:val="361D67FF"/>
    <w:rsid w:val="36FD6C55"/>
    <w:rsid w:val="37621F23"/>
    <w:rsid w:val="37BF6F64"/>
    <w:rsid w:val="3836588A"/>
    <w:rsid w:val="38606463"/>
    <w:rsid w:val="38B14F10"/>
    <w:rsid w:val="38C74734"/>
    <w:rsid w:val="393C6ED0"/>
    <w:rsid w:val="39B5458C"/>
    <w:rsid w:val="3A934624"/>
    <w:rsid w:val="3AAF3FCD"/>
    <w:rsid w:val="3ACF72AE"/>
    <w:rsid w:val="3ADE7751"/>
    <w:rsid w:val="3B190B4B"/>
    <w:rsid w:val="3B6E0E96"/>
    <w:rsid w:val="3B844B5E"/>
    <w:rsid w:val="3CB71834"/>
    <w:rsid w:val="3DAE5EC2"/>
    <w:rsid w:val="3E710AC0"/>
    <w:rsid w:val="3EC05EAD"/>
    <w:rsid w:val="3F367F1D"/>
    <w:rsid w:val="3F674CB6"/>
    <w:rsid w:val="3FCC6AD3"/>
    <w:rsid w:val="405A7C3B"/>
    <w:rsid w:val="41432DC5"/>
    <w:rsid w:val="41E974C9"/>
    <w:rsid w:val="42162288"/>
    <w:rsid w:val="437600FE"/>
    <w:rsid w:val="43A538C3"/>
    <w:rsid w:val="43B104BA"/>
    <w:rsid w:val="449F4847"/>
    <w:rsid w:val="44CB1108"/>
    <w:rsid w:val="4538077D"/>
    <w:rsid w:val="4556401B"/>
    <w:rsid w:val="468C14EB"/>
    <w:rsid w:val="46C36D3C"/>
    <w:rsid w:val="46E1485D"/>
    <w:rsid w:val="46E22739"/>
    <w:rsid w:val="471E7C15"/>
    <w:rsid w:val="480F1C53"/>
    <w:rsid w:val="482E032B"/>
    <w:rsid w:val="485D3817"/>
    <w:rsid w:val="487216E8"/>
    <w:rsid w:val="492F0B49"/>
    <w:rsid w:val="4A3414FD"/>
    <w:rsid w:val="4A4536BD"/>
    <w:rsid w:val="4AD44F71"/>
    <w:rsid w:val="4AE03433"/>
    <w:rsid w:val="4B685203"/>
    <w:rsid w:val="4CD6689C"/>
    <w:rsid w:val="4D0C49B3"/>
    <w:rsid w:val="4D703FFF"/>
    <w:rsid w:val="4E6D3574"/>
    <w:rsid w:val="4E8011B5"/>
    <w:rsid w:val="4F0771E0"/>
    <w:rsid w:val="4F2F3FA1"/>
    <w:rsid w:val="4F624D5E"/>
    <w:rsid w:val="4F674123"/>
    <w:rsid w:val="4FF82FCD"/>
    <w:rsid w:val="50146059"/>
    <w:rsid w:val="50441F68"/>
    <w:rsid w:val="50746AF7"/>
    <w:rsid w:val="51112598"/>
    <w:rsid w:val="51750D79"/>
    <w:rsid w:val="529F5982"/>
    <w:rsid w:val="53C05F5A"/>
    <w:rsid w:val="541008E5"/>
    <w:rsid w:val="54216F96"/>
    <w:rsid w:val="5471046A"/>
    <w:rsid w:val="547F5A6B"/>
    <w:rsid w:val="54FC355F"/>
    <w:rsid w:val="55597ADB"/>
    <w:rsid w:val="570E431B"/>
    <w:rsid w:val="573009E7"/>
    <w:rsid w:val="573174F0"/>
    <w:rsid w:val="57AE6D93"/>
    <w:rsid w:val="57DB161B"/>
    <w:rsid w:val="58030690"/>
    <w:rsid w:val="582B090E"/>
    <w:rsid w:val="584512B8"/>
    <w:rsid w:val="58D345D7"/>
    <w:rsid w:val="59D23552"/>
    <w:rsid w:val="5A7D47FA"/>
    <w:rsid w:val="5AB87F28"/>
    <w:rsid w:val="5B175BE2"/>
    <w:rsid w:val="5B750AF9"/>
    <w:rsid w:val="5C6043D4"/>
    <w:rsid w:val="5C841E70"/>
    <w:rsid w:val="5CAB1AF3"/>
    <w:rsid w:val="5E1C691D"/>
    <w:rsid w:val="5E5D6E1D"/>
    <w:rsid w:val="5F816B3B"/>
    <w:rsid w:val="5FB11216"/>
    <w:rsid w:val="600608C4"/>
    <w:rsid w:val="60067040"/>
    <w:rsid w:val="604D0DD3"/>
    <w:rsid w:val="607945BC"/>
    <w:rsid w:val="60844B35"/>
    <w:rsid w:val="609B3C2C"/>
    <w:rsid w:val="617050B9"/>
    <w:rsid w:val="61D145ED"/>
    <w:rsid w:val="61D20F2B"/>
    <w:rsid w:val="62137B25"/>
    <w:rsid w:val="624168C9"/>
    <w:rsid w:val="628C5F22"/>
    <w:rsid w:val="6292739D"/>
    <w:rsid w:val="62D376AD"/>
    <w:rsid w:val="62E03578"/>
    <w:rsid w:val="63414F5F"/>
    <w:rsid w:val="637160AB"/>
    <w:rsid w:val="64882719"/>
    <w:rsid w:val="648D5347"/>
    <w:rsid w:val="65BC6B1F"/>
    <w:rsid w:val="65E44D4C"/>
    <w:rsid w:val="65F067C8"/>
    <w:rsid w:val="65F76563"/>
    <w:rsid w:val="66291CDA"/>
    <w:rsid w:val="668D6ECC"/>
    <w:rsid w:val="66A355E9"/>
    <w:rsid w:val="675B4B07"/>
    <w:rsid w:val="677376B1"/>
    <w:rsid w:val="68172D06"/>
    <w:rsid w:val="68996CA3"/>
    <w:rsid w:val="68B00491"/>
    <w:rsid w:val="691722BE"/>
    <w:rsid w:val="69BC750D"/>
    <w:rsid w:val="69E7708D"/>
    <w:rsid w:val="6AF9127D"/>
    <w:rsid w:val="6B3929BF"/>
    <w:rsid w:val="6BF948CC"/>
    <w:rsid w:val="6C761CC5"/>
    <w:rsid w:val="6C9F2CF6"/>
    <w:rsid w:val="6E006A52"/>
    <w:rsid w:val="6EA939B8"/>
    <w:rsid w:val="6F5F177E"/>
    <w:rsid w:val="6F865AA7"/>
    <w:rsid w:val="6FD97A1B"/>
    <w:rsid w:val="6FE32EFA"/>
    <w:rsid w:val="709E186B"/>
    <w:rsid w:val="70AF61D1"/>
    <w:rsid w:val="70CB21E7"/>
    <w:rsid w:val="70FA499F"/>
    <w:rsid w:val="714479C8"/>
    <w:rsid w:val="714D7E5F"/>
    <w:rsid w:val="71675E7F"/>
    <w:rsid w:val="716F713B"/>
    <w:rsid w:val="71DE1BCB"/>
    <w:rsid w:val="72DD6326"/>
    <w:rsid w:val="738B7B30"/>
    <w:rsid w:val="746D19CA"/>
    <w:rsid w:val="74D10EC7"/>
    <w:rsid w:val="757E170D"/>
    <w:rsid w:val="75970A0E"/>
    <w:rsid w:val="75DE3F93"/>
    <w:rsid w:val="76236746"/>
    <w:rsid w:val="76317F9B"/>
    <w:rsid w:val="76B86E8E"/>
    <w:rsid w:val="76EF1997"/>
    <w:rsid w:val="76FD6F97"/>
    <w:rsid w:val="770D4C48"/>
    <w:rsid w:val="77534E09"/>
    <w:rsid w:val="77F43101"/>
    <w:rsid w:val="7856695F"/>
    <w:rsid w:val="79314CD6"/>
    <w:rsid w:val="794C38BE"/>
    <w:rsid w:val="79996046"/>
    <w:rsid w:val="7A140880"/>
    <w:rsid w:val="7AEA5A84"/>
    <w:rsid w:val="7B5353D8"/>
    <w:rsid w:val="7B79577B"/>
    <w:rsid w:val="7BB42002"/>
    <w:rsid w:val="7CE56BFB"/>
    <w:rsid w:val="7CFE1373"/>
    <w:rsid w:val="7D80447E"/>
    <w:rsid w:val="7E0A649D"/>
    <w:rsid w:val="7ED93E46"/>
    <w:rsid w:val="7EF97CE5"/>
    <w:rsid w:val="7F2D4191"/>
    <w:rsid w:val="7FA64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iPriority="99"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仿宋_GB2312" w:hAnsi="Times New Roman" w:eastAsia="仿宋_GB2312" w:cs="Times New Roman"/>
      <w:szCs w:val="36"/>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1"/>
    <w:unhideWhenUsed/>
    <w:qFormat/>
    <w:uiPriority w:val="99"/>
    <w:pPr>
      <w:spacing w:after="120"/>
      <w:ind w:left="420" w:leftChars="200"/>
    </w:pPr>
  </w:style>
  <w:style w:type="paragraph" w:styleId="4">
    <w:name w:val="Balloon Text"/>
    <w:basedOn w:val="1"/>
    <w:link w:val="14"/>
    <w:unhideWhenUsed/>
    <w:qFormat/>
    <w:uiPriority w:val="99"/>
    <w:rPr>
      <w:sz w:val="18"/>
      <w:szCs w:val="18"/>
      <w:lang w:val="zh-CN" w:eastAsia="zh-CN"/>
    </w:rPr>
  </w:style>
  <w:style w:type="paragraph" w:styleId="5">
    <w:name w:val="footer"/>
    <w:basedOn w:val="1"/>
    <w:link w:val="15"/>
    <w:unhideWhenUsed/>
    <w:qFormat/>
    <w:uiPriority w:val="0"/>
    <w:pPr>
      <w:tabs>
        <w:tab w:val="center" w:pos="4153"/>
        <w:tab w:val="right" w:pos="8306"/>
      </w:tabs>
      <w:snapToGrid w:val="0"/>
    </w:pPr>
    <w:rPr>
      <w:sz w:val="18"/>
      <w:szCs w:val="18"/>
      <w:lang w:val="zh-CN" w:eastAsia="zh-CN"/>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7">
    <w:name w:val="index 9"/>
    <w:basedOn w:val="1"/>
    <w:next w:val="1"/>
    <w:unhideWhenUsed/>
    <w:qFormat/>
    <w:uiPriority w:val="99"/>
    <w:pPr>
      <w:spacing w:before="100" w:beforeAutospacing="1" w:after="100" w:afterAutospacing="1"/>
      <w:ind w:left="1600" w:leftChars="1600"/>
    </w:pPr>
  </w:style>
  <w:style w:type="paragraph" w:styleId="8">
    <w:name w:val="Normal (Web)"/>
    <w:basedOn w:val="1"/>
    <w:qFormat/>
    <w:uiPriority w:val="99"/>
    <w:pPr>
      <w:widowControl w:val="0"/>
      <w:spacing w:beforeAutospacing="1" w:afterAutospacing="1" w:line="360" w:lineRule="auto"/>
    </w:pPr>
    <w:rPr>
      <w:rFonts w:ascii="Calibri" w:hAnsi="Calibri" w:eastAsia="宋体"/>
      <w:sz w:val="24"/>
      <w:szCs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character" w:customStyle="1" w:styleId="13">
    <w:name w:val="页眉 字符"/>
    <w:link w:val="6"/>
    <w:qFormat/>
    <w:uiPriority w:val="99"/>
    <w:rPr>
      <w:sz w:val="18"/>
      <w:szCs w:val="18"/>
    </w:rPr>
  </w:style>
  <w:style w:type="character" w:customStyle="1" w:styleId="14">
    <w:name w:val="批注框文本 字符"/>
    <w:link w:val="4"/>
    <w:semiHidden/>
    <w:qFormat/>
    <w:uiPriority w:val="99"/>
    <w:rPr>
      <w:sz w:val="18"/>
      <w:szCs w:val="18"/>
    </w:rPr>
  </w:style>
  <w:style w:type="character" w:customStyle="1" w:styleId="15">
    <w:name w:val="页脚 字符1"/>
    <w:link w:val="5"/>
    <w:qFormat/>
    <w:uiPriority w:val="0"/>
    <w:rPr>
      <w:sz w:val="18"/>
      <w:szCs w:val="18"/>
    </w:rPr>
  </w:style>
  <w:style w:type="paragraph" w:customStyle="1" w:styleId="16">
    <w:name w:val="p0"/>
    <w:basedOn w:val="1"/>
    <w:qFormat/>
    <w:uiPriority w:val="0"/>
    <w:pPr>
      <w:spacing w:before="100" w:beforeAutospacing="1" w:after="100" w:afterAutospacing="1" w:line="432" w:lineRule="atLeast"/>
    </w:pPr>
    <w:rPr>
      <w:rFonts w:ascii="宋体" w:hAnsi="宋体" w:eastAsia="宋体" w:cs="宋体"/>
      <w:sz w:val="24"/>
      <w:szCs w:val="24"/>
    </w:rPr>
  </w:style>
  <w:style w:type="paragraph" w:customStyle="1" w:styleId="17">
    <w:name w:val="普通(网站)1"/>
    <w:basedOn w:val="1"/>
    <w:qFormat/>
    <w:uiPriority w:val="0"/>
    <w:pPr>
      <w:spacing w:before="100" w:beforeAutospacing="1" w:after="100" w:afterAutospacing="1"/>
    </w:pPr>
    <w:rPr>
      <w:rFonts w:ascii="宋体" w:hAnsi="宋体" w:eastAsia="宋体"/>
      <w:sz w:val="24"/>
      <w:szCs w:val="22"/>
    </w:rPr>
  </w:style>
  <w:style w:type="paragraph" w:customStyle="1" w:styleId="18">
    <w:name w:val="列出段落1"/>
    <w:basedOn w:val="1"/>
    <w:qFormat/>
    <w:uiPriority w:val="0"/>
    <w:pPr>
      <w:widowControl w:val="0"/>
      <w:ind w:firstLine="420" w:firstLineChars="200"/>
      <w:jc w:val="both"/>
    </w:pPr>
    <w:rPr>
      <w:rFonts w:ascii="Times New Roman" w:eastAsia="宋体"/>
      <w:kern w:val="2"/>
      <w:sz w:val="21"/>
      <w:szCs w:val="21"/>
    </w:rPr>
  </w:style>
  <w:style w:type="character" w:customStyle="1" w:styleId="19">
    <w:name w:val="页脚 字符"/>
    <w:qFormat/>
    <w:uiPriority w:val="99"/>
    <w:rPr>
      <w:sz w:val="18"/>
      <w:szCs w:val="18"/>
    </w:rPr>
  </w:style>
  <w:style w:type="paragraph" w:customStyle="1" w:styleId="20">
    <w:name w:val="Other|1"/>
    <w:basedOn w:val="1"/>
    <w:qFormat/>
    <w:uiPriority w:val="0"/>
    <w:pPr>
      <w:widowControl w:val="0"/>
      <w:spacing w:line="410" w:lineRule="auto"/>
      <w:ind w:firstLine="400"/>
    </w:pPr>
    <w:rPr>
      <w:rFonts w:ascii="宋体" w:hAnsi="宋体" w:eastAsia="宋体" w:cs="宋体"/>
      <w:color w:val="000000"/>
      <w:sz w:val="30"/>
      <w:szCs w:val="30"/>
      <w:lang w:val="zh-TW" w:eastAsia="zh-TW" w:bidi="zh-TW"/>
    </w:rPr>
  </w:style>
  <w:style w:type="paragraph" w:customStyle="1" w:styleId="21">
    <w:name w:val="Body text|1"/>
    <w:basedOn w:val="1"/>
    <w:qFormat/>
    <w:uiPriority w:val="0"/>
    <w:pPr>
      <w:widowControl w:val="0"/>
      <w:spacing w:line="410" w:lineRule="auto"/>
      <w:ind w:firstLine="400"/>
    </w:pPr>
    <w:rPr>
      <w:rFonts w:ascii="宋体" w:hAnsi="宋体" w:eastAsia="宋体" w:cs="宋体"/>
      <w:color w:val="000000"/>
      <w:sz w:val="30"/>
      <w:szCs w:val="30"/>
      <w:lang w:val="zh-TW" w:eastAsia="zh-TW" w:bidi="zh-TW"/>
    </w:rPr>
  </w:style>
  <w:style w:type="paragraph" w:styleId="22">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23">
    <w:name w:val="List Paragraph"/>
    <w:basedOn w:val="1"/>
    <w:autoRedefine/>
    <w:qFormat/>
    <w:uiPriority w:val="34"/>
    <w:pPr>
      <w:ind w:firstLine="420" w:firstLineChars="200"/>
    </w:pPr>
  </w:style>
  <w:style w:type="paragraph" w:customStyle="1" w:styleId="24">
    <w:name w:val="null5"/>
    <w:hidden/>
    <w:qFormat/>
    <w:uiPriority w:val="0"/>
    <w:rPr>
      <w:rFonts w:hint="eastAsia" w:asciiTheme="minorHAnsi" w:hAnsiTheme="minorHAnsi" w:eastAsiaTheme="minorEastAsia" w:cstheme="minorBidi"/>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6A4480-D02E-4F5C-BB25-7D4A8B5C26DE}">
  <ds:schemaRefs/>
</ds:datastoreItem>
</file>

<file path=docProps/app.xml><?xml version="1.0" encoding="utf-8"?>
<Properties xmlns="http://schemas.openxmlformats.org/officeDocument/2006/extended-properties" xmlns:vt="http://schemas.openxmlformats.org/officeDocument/2006/docPropsVTypes">
  <Template>Normal</Template>
  <Company>sdnu</Company>
  <Pages>22</Pages>
  <Words>11282</Words>
  <Characters>12274</Characters>
  <Lines>5</Lines>
  <Paragraphs>1</Paragraphs>
  <TotalTime>21</TotalTime>
  <ScaleCrop>false</ScaleCrop>
  <LinksUpToDate>false</LinksUpToDate>
  <CharactersWithSpaces>12341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2022-03-09T09:39:00Z</dcterms:created>
  <dc:creator>wangsong</dc:creator>
  <cp:lastModifiedBy>lenovo</cp:lastModifiedBy>
  <cp:lastPrinted>2019-06-19T06:00:00Z</cp:lastPrinted>
  <dcterms:modified xsi:type="dcterms:W3CDTF">2026-08-17T11:35:51Z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64DBFC30C5934DFB81BEF20B0BA3533F_13</vt:lpwstr>
  </property>
  <property fmtid="{D5CDD505-2E9C-101B-9397-08002B2CF9AE}" pid="4" name="KSOTemplateDocerSaveRecord">
    <vt:lpwstr>eyJoZGlkIjoiZTZiYWFkODJjYjQ5YjQxZGZhZGNkOTgwZGM0ZmY2ZTUiLCJ1c2VySWQiOiI5MDk3ODE1NTEifQ==</vt:lpwstr>
  </property>
</Properties>
</file>